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B8D01D" w:rsidR="001E41F3" w:rsidRDefault="00382D15">
      <w:pPr>
        <w:pStyle w:val="CRCoverPage"/>
        <w:tabs>
          <w:tab w:val="right" w:pos="9639"/>
        </w:tabs>
        <w:spacing w:after="0"/>
        <w:rPr>
          <w:b/>
          <w:i/>
          <w:noProof/>
          <w:sz w:val="28"/>
        </w:rPr>
      </w:pPr>
      <w:r w:rsidRPr="00382D15">
        <w:rPr>
          <w:b/>
          <w:noProof/>
          <w:sz w:val="24"/>
        </w:rPr>
        <w:t>3GPP TSG-RAN4 Meeting #114</w:t>
      </w:r>
      <w:r w:rsidR="001E41F3">
        <w:rPr>
          <w:b/>
          <w:i/>
          <w:noProof/>
          <w:sz w:val="28"/>
        </w:rPr>
        <w:tab/>
      </w:r>
      <w:r w:rsidR="008E210D" w:rsidRPr="008E210D">
        <w:rPr>
          <w:b/>
          <w:sz w:val="24"/>
        </w:rPr>
        <w:t>R4-2502175</w:t>
      </w:r>
    </w:p>
    <w:p w14:paraId="699946F0" w14:textId="77777777" w:rsidR="0012633D" w:rsidRDefault="00382D15" w:rsidP="005E2C44">
      <w:pPr>
        <w:pStyle w:val="CRCoverPage"/>
        <w:outlineLvl w:val="0"/>
        <w:rPr>
          <w:b/>
          <w:noProof/>
          <w:sz w:val="24"/>
        </w:rPr>
      </w:pPr>
      <w:r w:rsidRPr="00382D15">
        <w:rPr>
          <w:b/>
          <w:noProof/>
          <w:sz w:val="24"/>
        </w:rPr>
        <w:t>Athens, Greece</w:t>
      </w:r>
      <w:r w:rsidR="001E41F3">
        <w:rPr>
          <w:b/>
          <w:noProof/>
          <w:sz w:val="24"/>
        </w:rPr>
        <w:t xml:space="preserve">, </w:t>
      </w:r>
      <w:r w:rsidRPr="00382D15">
        <w:rPr>
          <w:b/>
          <w:noProof/>
          <w:sz w:val="24"/>
        </w:rPr>
        <w:t>17th - 21st February, 2025</w:t>
      </w:r>
    </w:p>
    <w:p w14:paraId="07EF748B" w14:textId="77777777" w:rsidR="0012633D" w:rsidRDefault="0012633D" w:rsidP="005E2C44">
      <w:pPr>
        <w:pStyle w:val="CRCoverPage"/>
        <w:outlineLvl w:val="0"/>
        <w:rPr>
          <w:b/>
          <w:noProof/>
          <w:sz w:val="24"/>
        </w:rPr>
      </w:pPr>
    </w:p>
    <w:p w14:paraId="2ACE0F52" w14:textId="49A6223D" w:rsidR="0012633D" w:rsidRDefault="0012633D" w:rsidP="0012633D">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51578D">
        <w:rPr>
          <w:rFonts w:ascii="Arial" w:hAnsi="Arial" w:cs="Arial"/>
          <w:noProof/>
          <w:sz w:val="24"/>
        </w:rPr>
        <w:t>7.14.2.3</w:t>
      </w:r>
    </w:p>
    <w:p w14:paraId="4C95B7EF" w14:textId="7056FD0B" w:rsidR="0012633D" w:rsidRDefault="0012633D" w:rsidP="0012633D">
      <w:pPr>
        <w:rPr>
          <w:rFonts w:ascii="Arial" w:hAnsi="Arial" w:cs="Arial"/>
          <w:noProof/>
          <w:sz w:val="24"/>
        </w:rPr>
      </w:pPr>
      <w:r>
        <w:rPr>
          <w:rFonts w:ascii="Arial" w:hAnsi="Arial" w:cs="Arial"/>
          <w:b/>
          <w:noProof/>
          <w:sz w:val="24"/>
        </w:rPr>
        <w:t>Source:</w:t>
      </w:r>
      <w:r w:rsidRPr="008D4CC8">
        <w:rPr>
          <w:rFonts w:ascii="Arial" w:hAnsi="Arial" w:cs="Arial"/>
          <w:noProof/>
          <w:sz w:val="24"/>
        </w:rPr>
        <w:tab/>
      </w:r>
      <w:r w:rsidRPr="008D4CC8">
        <w:rPr>
          <w:rFonts w:ascii="Arial" w:hAnsi="Arial" w:cs="Arial"/>
          <w:noProof/>
          <w:sz w:val="24"/>
        </w:rPr>
        <w:tab/>
      </w:r>
      <w:r w:rsidRPr="008D4CC8">
        <w:rPr>
          <w:rFonts w:ascii="Arial" w:hAnsi="Arial" w:cs="Arial"/>
          <w:noProof/>
          <w:sz w:val="24"/>
        </w:rPr>
        <w:tab/>
      </w:r>
      <w:r w:rsidRPr="008D4CC8">
        <w:rPr>
          <w:rFonts w:ascii="Arial" w:hAnsi="Arial" w:cs="Arial"/>
          <w:noProof/>
          <w:sz w:val="24"/>
        </w:rPr>
        <w:tab/>
        <w:t>Keysight Technologies UK Ltd</w:t>
      </w:r>
      <w:r w:rsidR="00171026" w:rsidRPr="008D4CC8">
        <w:rPr>
          <w:rFonts w:ascii="Arial" w:hAnsi="Arial" w:cs="Arial"/>
          <w:noProof/>
          <w:sz w:val="24"/>
        </w:rPr>
        <w:t>, Spirent Communications</w:t>
      </w:r>
      <w:r w:rsidR="00631CC8" w:rsidRPr="008D4CC8">
        <w:rPr>
          <w:rFonts w:ascii="Arial" w:hAnsi="Arial" w:cs="Arial"/>
          <w:noProof/>
          <w:sz w:val="24"/>
        </w:rPr>
        <w:t>, CAICT</w:t>
      </w:r>
      <w:r w:rsidR="0024336A" w:rsidRPr="008D4CC8">
        <w:rPr>
          <w:rFonts w:ascii="Arial" w:hAnsi="Arial" w:cs="Arial"/>
          <w:noProof/>
          <w:sz w:val="24"/>
        </w:rPr>
        <w:t xml:space="preserve">, </w:t>
      </w:r>
      <w:r w:rsidR="0024336A">
        <w:rPr>
          <w:rFonts w:ascii="Arial" w:hAnsi="Arial" w:cs="Arial"/>
          <w:noProof/>
          <w:sz w:val="24"/>
        </w:rPr>
        <w:t>Huawei</w:t>
      </w:r>
      <w:r w:rsidR="004C4A4D">
        <w:rPr>
          <w:rFonts w:ascii="Arial" w:hAnsi="Arial" w:cs="Arial"/>
          <w:noProof/>
          <w:sz w:val="24"/>
        </w:rPr>
        <w:t>, AT&amp;T, Verizon Wireless</w:t>
      </w:r>
    </w:p>
    <w:p w14:paraId="2135EF9C" w14:textId="6C8730C2" w:rsidR="0012633D" w:rsidRDefault="0012633D" w:rsidP="0012633D">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130689">
        <w:rPr>
          <w:rFonts w:ascii="Arial" w:hAnsi="Arial" w:cs="Arial"/>
          <w:noProof/>
          <w:sz w:val="24"/>
        </w:rPr>
        <w:t>On Channel Models</w:t>
      </w:r>
      <w:r w:rsidR="00BE11E4">
        <w:rPr>
          <w:rFonts w:ascii="Arial" w:hAnsi="Arial" w:cs="Arial"/>
          <w:noProof/>
          <w:sz w:val="24"/>
        </w:rPr>
        <w:t xml:space="preserve"> in CTIA and 3GPP for Dynamic FR1 MIMO OTA</w:t>
      </w:r>
    </w:p>
    <w:p w14:paraId="3EA60881" w14:textId="77777777" w:rsidR="0012633D" w:rsidRDefault="0012633D" w:rsidP="0012633D">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5A17DA50" w14:textId="77777777" w:rsidR="0012633D" w:rsidRDefault="0012633D" w:rsidP="0012633D">
      <w:pPr>
        <w:pStyle w:val="Heading1"/>
        <w:rPr>
          <w:noProof/>
        </w:rPr>
      </w:pPr>
      <w:r>
        <w:rPr>
          <w:noProof/>
        </w:rPr>
        <w:t>Introduction</w:t>
      </w:r>
    </w:p>
    <w:p w14:paraId="40003694" w14:textId="3F079E7C" w:rsidR="00C66B70" w:rsidRDefault="00C66B70" w:rsidP="00C66B70">
      <w:r>
        <w:t>Based on commercial and fragmentation reasons,</w:t>
      </w:r>
      <w:r w:rsidR="00347ED2">
        <w:t xml:space="preserve"> a</w:t>
      </w:r>
      <w:r>
        <w:t xml:space="preserve"> Text Proposal (TP) introduced by Keysight and Spirent into the 3GPP TR for Dynamic MIMO OTA </w:t>
      </w:r>
      <w:r w:rsidR="0050739D">
        <w:t xml:space="preserve">was objected to </w:t>
      </w:r>
      <w:r>
        <w:t xml:space="preserve">as it yielded differences in channel model validation targets between CTIA and 3GPP; all channel model aspects including path loss models that cause the differences in the validation targets were previously agreed in 3GPP RAN4, CTIA MOSG, and the CTIA OTA operators as further outlined below. </w:t>
      </w:r>
    </w:p>
    <w:p w14:paraId="633AAFB8" w14:textId="2DDF762B" w:rsidR="00C66B70" w:rsidRDefault="0050739D" w:rsidP="00C66B70">
      <w:r>
        <w:t>T</w:t>
      </w:r>
      <w:r w:rsidR="00C66B70">
        <w:t xml:space="preserve">echnical justification </w:t>
      </w:r>
      <w:r>
        <w:t xml:space="preserve">was requested </w:t>
      </w:r>
      <w:r w:rsidR="00C66B70">
        <w:t xml:space="preserve">for previous decisions made, reasons why channel models should not be equalized, and a recommendation which SDO would have to </w:t>
      </w:r>
      <w:r w:rsidR="00853C81">
        <w:t>adjust</w:t>
      </w:r>
      <w:r w:rsidR="00C66B70">
        <w:t xml:space="preserve"> if channel models were to be equalized. </w:t>
      </w:r>
    </w:p>
    <w:p w14:paraId="1FD34D11" w14:textId="766C678B" w:rsidR="0012633D" w:rsidRDefault="00C66B70" w:rsidP="00C66B70">
      <w:pPr>
        <w:rPr>
          <w:noProof/>
        </w:rPr>
      </w:pPr>
      <w:r>
        <w:t>This remainder of this document is providing a review of previous decisions made in CTIA and 3GPP together with technical justifications and feedback to concerns which unnecessarily avoided progress in 3GPP.</w:t>
      </w:r>
    </w:p>
    <w:p w14:paraId="33C18504" w14:textId="4A4D3ADD" w:rsidR="0012633D" w:rsidRDefault="00C741A8" w:rsidP="0012633D">
      <w:pPr>
        <w:pStyle w:val="Heading1"/>
        <w:rPr>
          <w:noProof/>
        </w:rPr>
      </w:pPr>
      <w:r w:rsidRPr="00C741A8">
        <w:rPr>
          <w:noProof/>
        </w:rPr>
        <w:t>History of Dynamic Channel Models in CTIA</w:t>
      </w:r>
    </w:p>
    <w:p w14:paraId="3C7626F9" w14:textId="5E56849F" w:rsidR="00453665" w:rsidRDefault="00453665" w:rsidP="00453665">
      <w:r>
        <w:t xml:space="preserve">In </w:t>
      </w:r>
      <w:r>
        <w:fldChar w:fldCharType="begin"/>
      </w:r>
      <w:r>
        <w:instrText xml:space="preserve"> REF _Ref183518314 \w </w:instrText>
      </w:r>
      <w:r>
        <w:fldChar w:fldCharType="separate"/>
      </w:r>
      <w:r w:rsidR="00A27D7F">
        <w:t>[1]</w:t>
      </w:r>
      <w:r>
        <w:fldChar w:fldCharType="end"/>
      </w:r>
      <w:r>
        <w:t>, Keysight initiated discussions and recommendations related to the use of dynamic channel models for FR1 MIMO OTA testing in CTIA. Among other things, K</w:t>
      </w:r>
      <w:r w:rsidR="00383AEF">
        <w:t>eysight</w:t>
      </w:r>
      <w:r>
        <w:t xml:space="preserve"> requested feedback regarding the supported dynamic range in MPAC test systems</w:t>
      </w:r>
    </w:p>
    <w:tbl>
      <w:tblPr>
        <w:tblStyle w:val="TableGrid"/>
        <w:tblW w:w="0" w:type="auto"/>
        <w:tblLook w:val="04A0" w:firstRow="1" w:lastRow="0" w:firstColumn="1" w:lastColumn="0" w:noHBand="0" w:noVBand="1"/>
      </w:tblPr>
      <w:tblGrid>
        <w:gridCol w:w="9350"/>
      </w:tblGrid>
      <w:tr w:rsidR="00453665" w14:paraId="53BABA49" w14:textId="77777777" w:rsidTr="00854324">
        <w:tc>
          <w:tcPr>
            <w:tcW w:w="9350" w:type="dxa"/>
          </w:tcPr>
          <w:p w14:paraId="1BC1F1C8" w14:textId="77777777" w:rsidR="00453665" w:rsidRPr="00523578" w:rsidRDefault="00453665" w:rsidP="00854324">
            <w:pPr>
              <w:rPr>
                <w:rFonts w:ascii="Arial" w:hAnsi="Arial" w:cs="Arial"/>
                <w:bCs/>
              </w:rPr>
            </w:pPr>
            <w:r w:rsidRPr="00523578">
              <w:rPr>
                <w:rFonts w:ascii="Arial" w:hAnsi="Arial" w:cs="Arial"/>
                <w:bCs/>
              </w:rPr>
              <w:t>Dynamic range of channel models</w:t>
            </w:r>
          </w:p>
          <w:p w14:paraId="1836A010" w14:textId="77777777" w:rsidR="00453665" w:rsidRPr="00BE11E4" w:rsidRDefault="00453665" w:rsidP="00854324">
            <w:pPr>
              <w:rPr>
                <w:rFonts w:ascii="Arial" w:hAnsi="Arial" w:cs="Arial"/>
                <w:sz w:val="20"/>
                <w:szCs w:val="20"/>
              </w:rPr>
            </w:pPr>
            <w:r w:rsidRPr="00BE11E4">
              <w:rPr>
                <w:rFonts w:ascii="Arial" w:hAnsi="Arial" w:cs="Arial"/>
                <w:sz w:val="20"/>
                <w:szCs w:val="20"/>
              </w:rPr>
              <w:t xml:space="preserve">The dynamic range that can be emulated by an MPAC/RTS setup depends on the gains of probes, the dynamic range of the fading emulator, and on the attenuation within the anechoic chamber. This maximum achievable range is TBD. Possibly the dynamic range of the channel model must be reduced </w:t>
            </w:r>
            <w:proofErr w:type="gramStart"/>
            <w:r w:rsidRPr="00BE11E4">
              <w:rPr>
                <w:rFonts w:ascii="Arial" w:hAnsi="Arial" w:cs="Arial"/>
                <w:sz w:val="20"/>
                <w:szCs w:val="20"/>
              </w:rPr>
              <w:t>in order to</w:t>
            </w:r>
            <w:proofErr w:type="gramEnd"/>
            <w:r w:rsidRPr="00BE11E4">
              <w:rPr>
                <w:rFonts w:ascii="Arial" w:hAnsi="Arial" w:cs="Arial"/>
                <w:sz w:val="20"/>
                <w:szCs w:val="20"/>
              </w:rPr>
              <w:t xml:space="preserve"> comply with the MPAC. Reducing the dynamic range can be achieved by tuning/scaling the path loss values of way points within parameter tables. </w:t>
            </w:r>
          </w:p>
          <w:p w14:paraId="63732762" w14:textId="77777777" w:rsidR="00453665" w:rsidRPr="007E7A6D" w:rsidRDefault="00453665" w:rsidP="00854324">
            <w:pPr>
              <w:pStyle w:val="Caption"/>
              <w:rPr>
                <w:b w:val="0"/>
                <w:bCs/>
              </w:rPr>
            </w:pPr>
            <w:bookmarkStart w:id="0" w:name="_Ref68159947"/>
            <w:r>
              <w:rPr>
                <w:bCs/>
                <w:sz w:val="20"/>
                <w:szCs w:val="16"/>
              </w:rPr>
              <w:t>Proposal 4</w:t>
            </w:r>
            <w:r w:rsidRPr="00523578">
              <w:rPr>
                <w:bCs/>
                <w:sz w:val="20"/>
                <w:szCs w:val="16"/>
              </w:rPr>
              <w:t>: System vendors to provide feedback on the achievable dynamic range including absolute power levels</w:t>
            </w:r>
            <w:bookmarkEnd w:id="0"/>
          </w:p>
        </w:tc>
      </w:tr>
    </w:tbl>
    <w:p w14:paraId="3D8971A3" w14:textId="77777777" w:rsidR="00453665" w:rsidRDefault="00453665" w:rsidP="00453665">
      <w:r>
        <w:t xml:space="preserve">Unfortunately, no feedback has been provided from test system vendors and Keysight eventually created channel models with ~35dB dynamic range. </w:t>
      </w:r>
    </w:p>
    <w:p w14:paraId="5CD9625D" w14:textId="56CE3F62" w:rsidR="00453665" w:rsidRDefault="00453665" w:rsidP="00453665">
      <w:r>
        <w:t xml:space="preserve">However, the CTIA OTA operators provided clear guidance on dynamic channel models in </w:t>
      </w:r>
      <w:r>
        <w:fldChar w:fldCharType="begin"/>
      </w:r>
      <w:r>
        <w:instrText xml:space="preserve"> REF _Ref183519301 \w </w:instrText>
      </w:r>
      <w:r>
        <w:fldChar w:fldCharType="separate"/>
      </w:r>
      <w:r w:rsidR="00A27D7F">
        <w:t>[2]</w:t>
      </w:r>
      <w:r>
        <w:fldChar w:fldCharType="end"/>
      </w:r>
      <w:r>
        <w:t xml:space="preserve">, e.g., </w:t>
      </w:r>
    </w:p>
    <w:tbl>
      <w:tblPr>
        <w:tblStyle w:val="TableGrid"/>
        <w:tblW w:w="0" w:type="auto"/>
        <w:tblLook w:val="04A0" w:firstRow="1" w:lastRow="0" w:firstColumn="1" w:lastColumn="0" w:noHBand="0" w:noVBand="1"/>
      </w:tblPr>
      <w:tblGrid>
        <w:gridCol w:w="9350"/>
      </w:tblGrid>
      <w:tr w:rsidR="00453665" w14:paraId="7280E2FB" w14:textId="77777777" w:rsidTr="00854324">
        <w:tc>
          <w:tcPr>
            <w:tcW w:w="9350" w:type="dxa"/>
          </w:tcPr>
          <w:p w14:paraId="1A9F760F" w14:textId="77777777" w:rsidR="00453665" w:rsidRPr="00523578" w:rsidRDefault="00453665" w:rsidP="00854324">
            <w:r w:rsidRPr="00BE11E4">
              <w:rPr>
                <w:rFonts w:ascii="Arial" w:hAnsi="Arial" w:cs="Arial"/>
                <w:color w:val="000000"/>
                <w:sz w:val="20"/>
                <w:szCs w:val="20"/>
              </w:rPr>
              <w:t>The channel models applied during the route shall be geometry-based and incorporate a mix between LOS and NLOS models and the route shall mimic a realistic field deployment geometry and allow for a sufficient device test coverage in the horizontal plane</w:t>
            </w:r>
          </w:p>
        </w:tc>
      </w:tr>
    </w:tbl>
    <w:p w14:paraId="5590A69A" w14:textId="77777777" w:rsidR="00453665" w:rsidRDefault="00453665" w:rsidP="00453665">
      <w:r>
        <w:t>,</w:t>
      </w:r>
    </w:p>
    <w:tbl>
      <w:tblPr>
        <w:tblStyle w:val="TableGrid"/>
        <w:tblW w:w="0" w:type="auto"/>
        <w:tblLook w:val="04A0" w:firstRow="1" w:lastRow="0" w:firstColumn="1" w:lastColumn="0" w:noHBand="0" w:noVBand="1"/>
      </w:tblPr>
      <w:tblGrid>
        <w:gridCol w:w="9350"/>
      </w:tblGrid>
      <w:tr w:rsidR="00453665" w14:paraId="614436E8" w14:textId="77777777" w:rsidTr="00854324">
        <w:tc>
          <w:tcPr>
            <w:tcW w:w="9350" w:type="dxa"/>
          </w:tcPr>
          <w:p w14:paraId="29543FAF" w14:textId="77777777" w:rsidR="00453665" w:rsidRPr="00BE11E4" w:rsidRDefault="00453665" w:rsidP="005E79EC">
            <w:pPr>
              <w:pStyle w:val="xmsonormal"/>
              <w:spacing w:after="0"/>
              <w:rPr>
                <w:sz w:val="20"/>
                <w:szCs w:val="20"/>
              </w:rPr>
            </w:pPr>
            <w:r w:rsidRPr="00BE11E4">
              <w:rPr>
                <w:rFonts w:ascii="Arial" w:hAnsi="Arial" w:cs="Arial"/>
                <w:color w:val="000000"/>
                <w:sz w:val="20"/>
                <w:szCs w:val="20"/>
              </w:rPr>
              <w:t xml:space="preserve">The channel models associated for way points can be based on 3GPP TR 38.901 and TR 38.827 CDL-models. The selection of sample route, CDL models and other test scenario parameters should be done such that the resulting channel model characteristics reflect realistic field type of behavior with additional variability in terms of small scale and </w:t>
            </w:r>
            <w:proofErr w:type="gramStart"/>
            <w:r w:rsidRPr="00BE11E4">
              <w:rPr>
                <w:rFonts w:ascii="Arial" w:hAnsi="Arial" w:cs="Arial"/>
                <w:color w:val="000000"/>
                <w:sz w:val="20"/>
                <w:szCs w:val="20"/>
              </w:rPr>
              <w:t>large scale</w:t>
            </w:r>
            <w:proofErr w:type="gramEnd"/>
            <w:r w:rsidRPr="00BE11E4">
              <w:rPr>
                <w:rFonts w:ascii="Arial" w:hAnsi="Arial" w:cs="Arial"/>
                <w:color w:val="000000"/>
                <w:sz w:val="20"/>
                <w:szCs w:val="20"/>
              </w:rPr>
              <w:t xml:space="preserve"> fading characteristics, such as </w:t>
            </w:r>
          </w:p>
          <w:p w14:paraId="201BD8F8" w14:textId="77777777" w:rsidR="00453665" w:rsidRPr="00BE11E4" w:rsidRDefault="00453665" w:rsidP="005E79EC">
            <w:pPr>
              <w:pStyle w:val="xmsonormal"/>
              <w:numPr>
                <w:ilvl w:val="0"/>
                <w:numId w:val="3"/>
              </w:numPr>
              <w:spacing w:after="0"/>
              <w:rPr>
                <w:rFonts w:eastAsia="Times New Roman"/>
                <w:color w:val="000000"/>
                <w:sz w:val="20"/>
                <w:szCs w:val="20"/>
              </w:rPr>
            </w:pPr>
            <w:r w:rsidRPr="00BE11E4">
              <w:rPr>
                <w:rFonts w:ascii="Arial" w:eastAsia="Times New Roman" w:hAnsi="Arial" w:cs="Arial"/>
                <w:color w:val="000000"/>
                <w:sz w:val="20"/>
                <w:szCs w:val="20"/>
              </w:rPr>
              <w:t xml:space="preserve">Large scale power profiles (SINR) </w:t>
            </w:r>
          </w:p>
          <w:p w14:paraId="675F6501" w14:textId="77777777" w:rsidR="00453665" w:rsidRPr="00BE11E4" w:rsidRDefault="00453665" w:rsidP="005E79EC">
            <w:pPr>
              <w:pStyle w:val="xmsonormal"/>
              <w:numPr>
                <w:ilvl w:val="0"/>
                <w:numId w:val="3"/>
              </w:numPr>
              <w:spacing w:after="0"/>
              <w:rPr>
                <w:rFonts w:eastAsia="Times New Roman"/>
                <w:color w:val="000000"/>
                <w:sz w:val="20"/>
                <w:szCs w:val="20"/>
              </w:rPr>
            </w:pPr>
            <w:r w:rsidRPr="00BE11E4">
              <w:rPr>
                <w:rFonts w:ascii="Arial" w:eastAsia="Times New Roman" w:hAnsi="Arial" w:cs="Arial"/>
                <w:color w:val="000000"/>
                <w:sz w:val="20"/>
                <w:szCs w:val="20"/>
              </w:rPr>
              <w:lastRenderedPageBreak/>
              <w:t xml:space="preserve">Power Angular Spectrum (MIMO correlation and rank) </w:t>
            </w:r>
          </w:p>
          <w:p w14:paraId="51B2B912" w14:textId="77777777" w:rsidR="00453665" w:rsidRPr="00BE11E4" w:rsidRDefault="00453665" w:rsidP="005E79EC">
            <w:pPr>
              <w:pStyle w:val="xmsonormal"/>
              <w:numPr>
                <w:ilvl w:val="0"/>
                <w:numId w:val="3"/>
              </w:numPr>
              <w:spacing w:after="0"/>
              <w:rPr>
                <w:rFonts w:eastAsia="Times New Roman"/>
                <w:color w:val="000000"/>
                <w:sz w:val="20"/>
                <w:szCs w:val="20"/>
              </w:rPr>
            </w:pPr>
            <w:r w:rsidRPr="00BE11E4">
              <w:rPr>
                <w:rFonts w:ascii="Arial" w:eastAsia="Times New Roman" w:hAnsi="Arial" w:cs="Arial"/>
                <w:color w:val="000000"/>
                <w:sz w:val="20"/>
                <w:szCs w:val="20"/>
              </w:rPr>
              <w:t xml:space="preserve">Doppler Power Spectrum (frequency-offset and time-domain fading correlation) </w:t>
            </w:r>
          </w:p>
          <w:p w14:paraId="5072BBFC" w14:textId="77777777" w:rsidR="00453665" w:rsidRPr="00BE11E4" w:rsidRDefault="00453665" w:rsidP="005E79EC">
            <w:pPr>
              <w:pStyle w:val="xmsonormal"/>
              <w:numPr>
                <w:ilvl w:val="0"/>
                <w:numId w:val="3"/>
              </w:numPr>
              <w:spacing w:after="0"/>
              <w:rPr>
                <w:rFonts w:eastAsia="Times New Roman"/>
                <w:color w:val="000000"/>
                <w:sz w:val="20"/>
                <w:szCs w:val="20"/>
              </w:rPr>
            </w:pPr>
            <w:r w:rsidRPr="00BE11E4">
              <w:rPr>
                <w:rFonts w:ascii="Arial" w:eastAsia="Times New Roman" w:hAnsi="Arial" w:cs="Arial"/>
                <w:color w:val="000000"/>
                <w:sz w:val="20"/>
                <w:szCs w:val="20"/>
              </w:rPr>
              <w:t>Power Delay Profile (frequency-domain fading correlation)</w:t>
            </w:r>
          </w:p>
          <w:p w14:paraId="5CA28138" w14:textId="77777777" w:rsidR="00453665" w:rsidRPr="000F3C1D" w:rsidRDefault="00453665" w:rsidP="005E79EC">
            <w:pPr>
              <w:pStyle w:val="xmsonormal"/>
              <w:numPr>
                <w:ilvl w:val="0"/>
                <w:numId w:val="3"/>
              </w:numPr>
              <w:spacing w:after="0"/>
              <w:rPr>
                <w:rFonts w:eastAsia="Times New Roman"/>
                <w:color w:val="000000"/>
              </w:rPr>
            </w:pPr>
            <w:r w:rsidRPr="00BE11E4">
              <w:rPr>
                <w:rFonts w:ascii="Arial" w:eastAsia="Times New Roman" w:hAnsi="Arial" w:cs="Arial"/>
                <w:color w:val="000000"/>
                <w:sz w:val="20"/>
                <w:szCs w:val="20"/>
              </w:rPr>
              <w:t>K-factor (fading amplitude distribution)</w:t>
            </w:r>
          </w:p>
        </w:tc>
      </w:tr>
    </w:tbl>
    <w:p w14:paraId="10FB3BE6" w14:textId="1E37A46A" w:rsidR="00453665" w:rsidRDefault="00A27D7F" w:rsidP="00453665">
      <w:r>
        <w:lastRenderedPageBreak/>
        <w:t>a</w:t>
      </w:r>
      <w:r w:rsidR="00453665">
        <w:t xml:space="preserve">nd </w:t>
      </w:r>
    </w:p>
    <w:tbl>
      <w:tblPr>
        <w:tblStyle w:val="TableGrid"/>
        <w:tblW w:w="0" w:type="auto"/>
        <w:tblLook w:val="04A0" w:firstRow="1" w:lastRow="0" w:firstColumn="1" w:lastColumn="0" w:noHBand="0" w:noVBand="1"/>
      </w:tblPr>
      <w:tblGrid>
        <w:gridCol w:w="9350"/>
      </w:tblGrid>
      <w:tr w:rsidR="00453665" w14:paraId="51C7668A" w14:textId="77777777" w:rsidTr="00854324">
        <w:tc>
          <w:tcPr>
            <w:tcW w:w="9350" w:type="dxa"/>
          </w:tcPr>
          <w:p w14:paraId="1135A353" w14:textId="77777777" w:rsidR="00453665" w:rsidRDefault="00453665" w:rsidP="00854324">
            <w:pPr>
              <w:pStyle w:val="xmsonormal"/>
              <w:spacing w:after="240"/>
            </w:pPr>
            <w:r w:rsidRPr="00BE11E4">
              <w:rPr>
                <w:rFonts w:ascii="Arial" w:hAnsi="Arial" w:cs="Arial"/>
                <w:color w:val="000000"/>
                <w:sz w:val="20"/>
                <w:szCs w:val="20"/>
              </w:rPr>
              <w:t xml:space="preserve">The channel models and network configurations utilized shall be specified in a channel emulator-agnostic and network simulator-agnostic manner. Clearly defined channel model validation procedures with pass/fail limits for key parameters shall be defined. </w:t>
            </w:r>
          </w:p>
        </w:tc>
      </w:tr>
    </w:tbl>
    <w:p w14:paraId="69B5AF98" w14:textId="79A488AD" w:rsidR="00453665" w:rsidRDefault="00453665" w:rsidP="00453665">
      <w:r>
        <w:t xml:space="preserve">Essentially, the operators suggested traceability to </w:t>
      </w:r>
      <w:fldSimple w:instr=" REF _Ref183526636 \w  \* MERGEFORMAT ">
        <w:r w:rsidR="00A27D7F">
          <w:t>[10]</w:t>
        </w:r>
      </w:fldSimple>
      <w:r>
        <w:t xml:space="preserve"> and </w:t>
      </w:r>
      <w:r w:rsidRPr="00A132FE">
        <w:t xml:space="preserve">channel model characteristics to be realistic. </w:t>
      </w:r>
    </w:p>
    <w:p w14:paraId="7A1E56E5" w14:textId="2E29313D" w:rsidR="00453665" w:rsidRDefault="00453665" w:rsidP="00453665">
      <w:r>
        <w:t xml:space="preserve">In </w:t>
      </w:r>
      <w:r>
        <w:fldChar w:fldCharType="begin"/>
      </w:r>
      <w:r>
        <w:instrText xml:space="preserve"> REF _Ref183519636 \w </w:instrText>
      </w:r>
      <w:r>
        <w:fldChar w:fldCharType="separate"/>
      </w:r>
      <w:r w:rsidR="00A27D7F">
        <w:t>[3]</w:t>
      </w:r>
      <w:r>
        <w:fldChar w:fldCharType="end"/>
      </w:r>
      <w:r>
        <w:t>, Keysight provided very clear recommendations and technical justifications on the definition channel models for UE Noise-Limited and SIR-Based environments</w:t>
      </w:r>
    </w:p>
    <w:tbl>
      <w:tblPr>
        <w:tblStyle w:val="TableGrid"/>
        <w:tblW w:w="0" w:type="auto"/>
        <w:tblLook w:val="04A0" w:firstRow="1" w:lastRow="0" w:firstColumn="1" w:lastColumn="0" w:noHBand="0" w:noVBand="1"/>
      </w:tblPr>
      <w:tblGrid>
        <w:gridCol w:w="9350"/>
      </w:tblGrid>
      <w:tr w:rsidR="00453665" w14:paraId="63BF545C" w14:textId="77777777" w:rsidTr="00854324">
        <w:tc>
          <w:tcPr>
            <w:tcW w:w="9350" w:type="dxa"/>
          </w:tcPr>
          <w:p w14:paraId="78F898FB" w14:textId="77777777" w:rsidR="00453665" w:rsidRPr="00BE11E4" w:rsidRDefault="00453665" w:rsidP="00854324">
            <w:pPr>
              <w:rPr>
                <w:b/>
                <w:sz w:val="20"/>
                <w:szCs w:val="20"/>
              </w:rPr>
            </w:pPr>
            <w:r w:rsidRPr="00BE11E4">
              <w:rPr>
                <w:b/>
                <w:sz w:val="20"/>
                <w:szCs w:val="20"/>
              </w:rPr>
              <w:t>Proposal 1: Continue to define the channel models with path loss variations, i.e., without normalizing path losses, for UE Noise-Limited Tests</w:t>
            </w:r>
          </w:p>
          <w:p w14:paraId="6B6D861F" w14:textId="77777777" w:rsidR="00453665" w:rsidRPr="000570CD" w:rsidRDefault="00453665" w:rsidP="00854324">
            <w:pPr>
              <w:rPr>
                <w:b/>
              </w:rPr>
            </w:pPr>
            <w:r w:rsidRPr="00BE11E4">
              <w:rPr>
                <w:b/>
                <w:sz w:val="20"/>
                <w:szCs w:val="20"/>
              </w:rPr>
              <w:t>Proposal 2: Adopt the Path-Loss Normalization Approach, i.e., forego the dynamic path loss, for SIR-Based Tests</w:t>
            </w:r>
            <w:r w:rsidRPr="00BE11E4">
              <w:rPr>
                <w:b/>
                <w:bCs/>
                <w:sz w:val="20"/>
                <w:szCs w:val="20"/>
              </w:rPr>
              <w:t xml:space="preserve"> while adding</w:t>
            </w:r>
            <w:r w:rsidRPr="00BE11E4">
              <w:rPr>
                <w:b/>
                <w:sz w:val="20"/>
                <w:szCs w:val="20"/>
              </w:rPr>
              <w:t xml:space="preserve"> K-factor dependent variation of overall channel gain</w:t>
            </w:r>
          </w:p>
        </w:tc>
      </w:tr>
    </w:tbl>
    <w:p w14:paraId="3E144C6D" w14:textId="68D5D81D" w:rsidR="00453665" w:rsidRDefault="00453665" w:rsidP="00453665">
      <w:r>
        <w:t xml:space="preserve">Proposals 1 and 2 of </w:t>
      </w:r>
      <w:r>
        <w:fldChar w:fldCharType="begin"/>
      </w:r>
      <w:r>
        <w:instrText xml:space="preserve"> REF _Ref183519636 \w </w:instrText>
      </w:r>
      <w:r>
        <w:fldChar w:fldCharType="separate"/>
      </w:r>
      <w:r w:rsidR="00A27D7F">
        <w:t>[3]</w:t>
      </w:r>
      <w:r>
        <w:fldChar w:fldCharType="end"/>
      </w:r>
      <w:r>
        <w:t xml:space="preserve"> were endorsed, i.e., the following assumptions were endorsed:</w:t>
      </w:r>
    </w:p>
    <w:p w14:paraId="2BC4C6DE" w14:textId="77777777" w:rsidR="00453665" w:rsidRDefault="00453665" w:rsidP="00453665">
      <w:pPr>
        <w:pStyle w:val="ListParagraph"/>
        <w:numPr>
          <w:ilvl w:val="0"/>
          <w:numId w:val="4"/>
        </w:numPr>
        <w:spacing w:after="160" w:line="278" w:lineRule="auto"/>
      </w:pPr>
      <w:r>
        <w:t xml:space="preserve">UE Noise-Limited: </w:t>
      </w:r>
    </w:p>
    <w:p w14:paraId="370E0140" w14:textId="77777777" w:rsidR="00453665" w:rsidRDefault="00453665" w:rsidP="00453665">
      <w:pPr>
        <w:pStyle w:val="ListParagraph"/>
        <w:numPr>
          <w:ilvl w:val="1"/>
          <w:numId w:val="4"/>
        </w:numPr>
        <w:spacing w:after="160" w:line="278" w:lineRule="auto"/>
      </w:pPr>
      <w:r>
        <w:t>“</w:t>
      </w:r>
      <w:proofErr w:type="gramStart"/>
      <w:r w:rsidRPr="00104F2E">
        <w:t>the</w:t>
      </w:r>
      <w:proofErr w:type="gramEnd"/>
      <w:r w:rsidRPr="00104F2E">
        <w:t xml:space="preserve"> dynamic level and channel model characteristic transitions should be included and modelled jointly and realistically in the test scenario to capture realistic link performance </w:t>
      </w:r>
      <w:proofErr w:type="spellStart"/>
      <w:r w:rsidRPr="00104F2E">
        <w:t>behavior</w:t>
      </w:r>
      <w:proofErr w:type="spellEnd"/>
      <w:r>
        <w:t>”</w:t>
      </w:r>
    </w:p>
    <w:p w14:paraId="2F52BC7B" w14:textId="77777777" w:rsidR="00453665" w:rsidRDefault="00453665" w:rsidP="00453665">
      <w:pPr>
        <w:pStyle w:val="ListParagraph"/>
        <w:numPr>
          <w:ilvl w:val="0"/>
          <w:numId w:val="4"/>
        </w:numPr>
        <w:spacing w:after="160" w:line="278" w:lineRule="auto"/>
      </w:pPr>
      <w:r>
        <w:t>SIR Based:</w:t>
      </w:r>
    </w:p>
    <w:p w14:paraId="1415986C" w14:textId="77777777" w:rsidR="00453665" w:rsidRDefault="00453665" w:rsidP="00453665">
      <w:pPr>
        <w:pStyle w:val="ListParagraph"/>
        <w:numPr>
          <w:ilvl w:val="1"/>
          <w:numId w:val="4"/>
        </w:numPr>
        <w:spacing w:after="160" w:line="278" w:lineRule="auto"/>
      </w:pPr>
      <w:r>
        <w:t>“</w:t>
      </w:r>
      <w:r w:rsidRPr="0017661A">
        <w:t xml:space="preserve">The distance dependent path loss can be simply removed from the dynamic channel model. NLOS/LOS dependent gain variation can be modelled based on the dynamic </w:t>
      </w:r>
      <w:proofErr w:type="spellStart"/>
      <w:r w:rsidRPr="0017661A">
        <w:t>Ricean</w:t>
      </w:r>
      <w:proofErr w:type="spellEnd"/>
      <w:r w:rsidRPr="0017661A">
        <w:t xml:space="preserve"> K-factor. Namely, the difference between LOS/NLOS condition is in the existence of LOS path. The LOS path has shortest propagation delay and highest gain, among multi paths. If average channel gains of NLOS/LOS conditions are normalized out, i.e., made equal, then NLOS would always provide better channel for MIMO communications. NLOS provides richer multi paths and more spatial degrees of freedom, but in real environment this comes with the cost of increased propagation loss of, e.g., 9 </w:t>
      </w:r>
      <w:proofErr w:type="spellStart"/>
      <w:r w:rsidRPr="0017661A">
        <w:t>dB.</w:t>
      </w:r>
      <w:proofErr w:type="spellEnd"/>
      <w:r w:rsidRPr="0017661A">
        <w:t xml:space="preserve"> The extra attenuation of NLOS condition follows from the absence of the highest gain LOS path. The mentioned dB value is exactly the </w:t>
      </w:r>
      <w:proofErr w:type="spellStart"/>
      <w:r w:rsidRPr="0017661A">
        <w:t>Ricean</w:t>
      </w:r>
      <w:proofErr w:type="spellEnd"/>
      <w:r w:rsidRPr="0017661A">
        <w:t xml:space="preserve"> K-factor parameter of the channel model. As the DUT performance is mainly dictated by the SIR profile of the model, we also propose to update the noise power profile such that the original SIR profile of the dynamic path-loss based signal + noise model is kept.</w:t>
      </w:r>
      <w:r>
        <w:t>”</w:t>
      </w:r>
    </w:p>
    <w:p w14:paraId="1B8523A1" w14:textId="77777777" w:rsidR="00453665" w:rsidRDefault="00453665" w:rsidP="00453665">
      <w:pPr>
        <w:pStyle w:val="ListParagraph"/>
        <w:numPr>
          <w:ilvl w:val="1"/>
          <w:numId w:val="4"/>
        </w:numPr>
        <w:spacing w:after="160" w:line="278" w:lineRule="auto"/>
      </w:pPr>
      <w:r>
        <w:t>“</w:t>
      </w:r>
      <w:r w:rsidRPr="006545F2">
        <w:t xml:space="preserve">The average gain of NLOS clusters is kept stable across the channel model route. The LOS path has dynamic gain due to dynamic K-factor. As the LOS path is added on top of NLOS clusters, the total gain of channel becomes dynamic as determined by the </w:t>
      </w:r>
      <w:proofErr w:type="spellStart"/>
      <w:r w:rsidRPr="006545F2">
        <w:t>Ricean</w:t>
      </w:r>
      <w:proofErr w:type="spellEnd"/>
      <w:r w:rsidRPr="006545F2">
        <w:t xml:space="preserve"> K-factor.</w:t>
      </w:r>
      <w:r>
        <w:t>”</w:t>
      </w:r>
    </w:p>
    <w:p w14:paraId="5DB49A66" w14:textId="77777777" w:rsidR="00453665" w:rsidRDefault="00453665" w:rsidP="00453665">
      <w:pPr>
        <w:pStyle w:val="ListParagraph"/>
        <w:numPr>
          <w:ilvl w:val="1"/>
          <w:numId w:val="4"/>
        </w:numPr>
        <w:spacing w:after="160" w:line="278" w:lineRule="auto"/>
      </w:pPr>
      <w:r>
        <w:t>“The signal and interference levels are scaled to a specific target level for a test case execution. The target level is the maximum feasible level of the OTA test system, which is TBD.”</w:t>
      </w:r>
    </w:p>
    <w:p w14:paraId="74941CC2" w14:textId="77777777" w:rsidR="00453665" w:rsidRDefault="00453665" w:rsidP="00453665">
      <w:pPr>
        <w:pStyle w:val="ListParagraph"/>
        <w:numPr>
          <w:ilvl w:val="1"/>
          <w:numId w:val="4"/>
        </w:numPr>
        <w:spacing w:after="160" w:line="278" w:lineRule="auto"/>
      </w:pPr>
      <w:r>
        <w:t>“</w:t>
      </w:r>
      <w:r w:rsidRPr="00F632B9">
        <w:t>The path losses for signal and interference are defined according to the geometry-based signal and interference models and the relative differences of those are converted to SIR model</w:t>
      </w:r>
      <w:r>
        <w:t>”</w:t>
      </w:r>
    </w:p>
    <w:p w14:paraId="71203948" w14:textId="5A7A84A0" w:rsidR="00453665" w:rsidRDefault="00453665" w:rsidP="00453665">
      <w:r>
        <w:t xml:space="preserve">These proposals were separately endorsed explicitly by the CTIA OTA operators in </w:t>
      </w:r>
      <w:r>
        <w:fldChar w:fldCharType="begin"/>
      </w:r>
      <w:r>
        <w:instrText xml:space="preserve"> REF _Ref183521133 \w </w:instrText>
      </w:r>
      <w:r>
        <w:fldChar w:fldCharType="separate"/>
      </w:r>
      <w:r w:rsidR="00A27D7F">
        <w:t>[4]</w:t>
      </w:r>
      <w:r>
        <w:fldChar w:fldCharType="end"/>
      </w:r>
      <w:r>
        <w:t xml:space="preserve">, i.e., </w:t>
      </w:r>
    </w:p>
    <w:tbl>
      <w:tblPr>
        <w:tblStyle w:val="TableGrid"/>
        <w:tblW w:w="0" w:type="auto"/>
        <w:tblLook w:val="04A0" w:firstRow="1" w:lastRow="0" w:firstColumn="1" w:lastColumn="0" w:noHBand="0" w:noVBand="1"/>
      </w:tblPr>
      <w:tblGrid>
        <w:gridCol w:w="9350"/>
      </w:tblGrid>
      <w:tr w:rsidR="00453665" w14:paraId="0F03203D" w14:textId="77777777" w:rsidTr="00854324">
        <w:tc>
          <w:tcPr>
            <w:tcW w:w="9350" w:type="dxa"/>
          </w:tcPr>
          <w:p w14:paraId="7C427444" w14:textId="77777777" w:rsidR="00453665" w:rsidRPr="00BE11E4" w:rsidRDefault="00453665" w:rsidP="00453665">
            <w:pPr>
              <w:pStyle w:val="xmsonormal"/>
              <w:numPr>
                <w:ilvl w:val="0"/>
                <w:numId w:val="5"/>
              </w:numPr>
              <w:shd w:val="clear" w:color="auto" w:fill="FFFFFF"/>
              <w:textAlignment w:val="center"/>
              <w:rPr>
                <w:rFonts w:ascii="Arial" w:eastAsia="Times New Roman" w:hAnsi="Arial" w:cs="Arial"/>
                <w:sz w:val="20"/>
                <w:szCs w:val="20"/>
                <w:bdr w:val="none" w:sz="0" w:space="0" w:color="auto" w:frame="1"/>
              </w:rPr>
            </w:pPr>
            <w:r w:rsidRPr="00BE11E4">
              <w:rPr>
                <w:rFonts w:ascii="Arial" w:eastAsia="Times New Roman" w:hAnsi="Arial" w:cs="Arial"/>
                <w:sz w:val="20"/>
                <w:szCs w:val="20"/>
                <w:bdr w:val="none" w:sz="0" w:space="0" w:color="auto" w:frame="1"/>
              </w:rPr>
              <w:t>Endorsed Proposal 1 from OTAMIMO_2021_012_005 V2 to "Continue to define the channel models with path loss variations, i.e., without normalizing path losses, for UE Noise-Limited Tests" in the unlikely scenario that UE Noise-Limited testing is required</w:t>
            </w:r>
          </w:p>
          <w:p w14:paraId="1C735150" w14:textId="77777777" w:rsidR="00453665" w:rsidRPr="00D13D3C" w:rsidRDefault="00453665" w:rsidP="00453665">
            <w:pPr>
              <w:pStyle w:val="xmsonormal"/>
              <w:numPr>
                <w:ilvl w:val="0"/>
                <w:numId w:val="5"/>
              </w:numPr>
              <w:shd w:val="clear" w:color="auto" w:fill="FFFFFF"/>
              <w:textAlignment w:val="center"/>
              <w:rPr>
                <w:rFonts w:ascii="Arial" w:eastAsia="Times New Roman" w:hAnsi="Arial" w:cs="Arial"/>
                <w:bdr w:val="none" w:sz="0" w:space="0" w:color="auto" w:frame="1"/>
              </w:rPr>
            </w:pPr>
            <w:r w:rsidRPr="00BE11E4">
              <w:rPr>
                <w:rFonts w:ascii="Arial" w:eastAsia="Times New Roman" w:hAnsi="Arial" w:cs="Arial"/>
                <w:sz w:val="20"/>
                <w:szCs w:val="20"/>
                <w:bdr w:val="none" w:sz="0" w:space="0" w:color="auto" w:frame="1"/>
              </w:rPr>
              <w:t>Endorsed Proposal 2 from OTAMIMO_2021_012_005 V2 to "Adopt the Path-Loss Normalization Approach, i.e., forego the dynamic path loss, for SIR-Based Tests while adding K-factor dependent variation of overall channel gain"</w:t>
            </w:r>
          </w:p>
        </w:tc>
      </w:tr>
    </w:tbl>
    <w:p w14:paraId="05F88427" w14:textId="77777777" w:rsidR="00453665" w:rsidRDefault="00453665" w:rsidP="00453665"/>
    <w:p w14:paraId="29F2844A" w14:textId="6B8C7DBE" w:rsidR="00453665" w:rsidRDefault="00453665" w:rsidP="00453665">
      <w:r>
        <w:lastRenderedPageBreak/>
        <w:t>In CTIA’s SIR-based channel models, the pathloss</w:t>
      </w:r>
      <w:r w:rsidRPr="00C2034D">
        <w:t xml:space="preserve"> variation </w:t>
      </w:r>
      <w:r>
        <w:t xml:space="preserve">was not removed </w:t>
      </w:r>
      <w:r w:rsidRPr="00C2034D">
        <w:t>completely</w:t>
      </w:r>
      <w:r>
        <w:t xml:space="preserve"> as originally proposed by operators </w:t>
      </w:r>
      <w:r>
        <w:fldChar w:fldCharType="begin"/>
      </w:r>
      <w:r>
        <w:instrText xml:space="preserve"> REF _Ref183521734 \w </w:instrText>
      </w:r>
      <w:r>
        <w:fldChar w:fldCharType="separate"/>
      </w:r>
      <w:r w:rsidR="00A27D7F">
        <w:t>[5]</w:t>
      </w:r>
      <w:r>
        <w:fldChar w:fldCharType="end"/>
      </w:r>
      <w:r w:rsidRPr="00C2034D">
        <w:t xml:space="preserve">, since it would remove the gain difference between NLOS/LOS condition and make NLOS more </w:t>
      </w:r>
      <w:proofErr w:type="spellStart"/>
      <w:r w:rsidRPr="00C2034D">
        <w:t>favorable</w:t>
      </w:r>
      <w:proofErr w:type="spellEnd"/>
      <w:r w:rsidRPr="00C2034D">
        <w:t xml:space="preserve"> as compared to LOS, which is highly non-realistic. </w:t>
      </w:r>
      <w:r>
        <w:t xml:space="preserve">It was subsequently agreed to adopt </w:t>
      </w:r>
      <w:r w:rsidRPr="00C2034D">
        <w:t xml:space="preserve">the </w:t>
      </w:r>
      <w:proofErr w:type="spellStart"/>
      <w:r w:rsidRPr="00C2034D">
        <w:t>Ricean</w:t>
      </w:r>
      <w:proofErr w:type="spellEnd"/>
      <w:r w:rsidRPr="00C2034D">
        <w:t xml:space="preserve"> K-factor based “path loss”, which is independent of the link distance but has 9 dB higher PL in NLOS condition as compared to LOS. </w:t>
      </w:r>
      <w:r>
        <w:t xml:space="preserve">Additionally, the </w:t>
      </w:r>
      <w:r w:rsidRPr="0088385E">
        <w:t xml:space="preserve">dynamic path-loss based signal + noise model </w:t>
      </w:r>
      <w:r>
        <w:t>was</w:t>
      </w:r>
      <w:r w:rsidRPr="0088385E">
        <w:t xml:space="preserve"> kept</w:t>
      </w:r>
      <w:r w:rsidRPr="00E608B0">
        <w:t xml:space="preserve"> </w:t>
      </w:r>
      <w:r>
        <w:t xml:space="preserve">in the </w:t>
      </w:r>
      <w:r w:rsidRPr="00E608B0">
        <w:t>SIR profile</w:t>
      </w:r>
      <w:r>
        <w:t xml:space="preserve">. This resulted in the channel model currently defined in CTIA’s 01.42 draft test plan. </w:t>
      </w:r>
    </w:p>
    <w:p w14:paraId="57C9E698" w14:textId="77777777" w:rsidR="00453665" w:rsidRDefault="00453665" w:rsidP="00453665">
      <w:pPr>
        <w:spacing w:after="0"/>
        <w:rPr>
          <w:rFonts w:asciiTheme="majorHAnsi" w:eastAsiaTheme="majorEastAsia" w:hAnsiTheme="majorHAnsi" w:cstheme="majorBidi"/>
          <w:b/>
          <w:color w:val="365F91" w:themeColor="accent1" w:themeShade="BF"/>
          <w:sz w:val="32"/>
          <w:szCs w:val="32"/>
        </w:rPr>
      </w:pPr>
      <w:r>
        <w:br w:type="page"/>
      </w:r>
    </w:p>
    <w:p w14:paraId="77A03BA5" w14:textId="77777777" w:rsidR="00453665" w:rsidRDefault="00453665" w:rsidP="00453665">
      <w:pPr>
        <w:pStyle w:val="Heading1"/>
      </w:pPr>
      <w:r>
        <w:lastRenderedPageBreak/>
        <w:t>History of Dynamic Channel Models in 3GPP</w:t>
      </w:r>
    </w:p>
    <w:p w14:paraId="591D0E65" w14:textId="24675D6C" w:rsidR="00453665" w:rsidRDefault="00453665" w:rsidP="00453665">
      <w:r>
        <w:t xml:space="preserve">3GPP RAN4 decided to study the augmentation of their static channel </w:t>
      </w:r>
      <w:proofErr w:type="spellStart"/>
      <w:r>
        <w:t>modeling</w:t>
      </w:r>
      <w:proofErr w:type="spellEnd"/>
      <w:r>
        <w:t xml:space="preserve"> test specification </w:t>
      </w:r>
      <w:r>
        <w:fldChar w:fldCharType="begin"/>
      </w:r>
      <w:r>
        <w:instrText xml:space="preserve"> REF _Ref183525568 \w </w:instrText>
      </w:r>
      <w:r>
        <w:fldChar w:fldCharType="separate"/>
      </w:r>
      <w:r w:rsidR="00A27D7F">
        <w:t>[6]</w:t>
      </w:r>
      <w:r>
        <w:fldChar w:fldCharType="end"/>
      </w:r>
      <w:r>
        <w:t xml:space="preserve"> with dynamic channel models and link adaptation </w:t>
      </w:r>
      <w:r>
        <w:fldChar w:fldCharType="begin"/>
      </w:r>
      <w:r>
        <w:instrText xml:space="preserve"> REF _Ref162447311 \w </w:instrText>
      </w:r>
      <w:r>
        <w:fldChar w:fldCharType="separate"/>
      </w:r>
      <w:r w:rsidR="00A27D7F">
        <w:t>[7]</w:t>
      </w:r>
      <w:r>
        <w:fldChar w:fldCharType="end"/>
      </w:r>
      <w:r>
        <w:t xml:space="preserve">. The key difference between the CTIA and 3GPP test approach was the selection of the UE Noise-Limited environmental condition as the baseline in 3GPP while CTIA </w:t>
      </w:r>
      <w:r w:rsidR="004E4641">
        <w:t>previously</w:t>
      </w:r>
      <w:r>
        <w:t xml:space="preserve"> decided on the SIR-based condition. Keysight and CAICT demonstrated using smartphone UE measurements that both environmental conditions add value in the assessment of FR1 MIMO OTA performance and </w:t>
      </w:r>
      <w:r w:rsidR="006835DC">
        <w:t>can</w:t>
      </w:r>
      <w:r>
        <w:t xml:space="preserve"> rank devices differently when compared to TIS/TRS </w:t>
      </w:r>
      <w:r>
        <w:fldChar w:fldCharType="begin"/>
      </w:r>
      <w:r>
        <w:instrText xml:space="preserve"> REF _Ref183526132 \w </w:instrText>
      </w:r>
      <w:r>
        <w:fldChar w:fldCharType="separate"/>
      </w:r>
      <w:r w:rsidR="00A27D7F">
        <w:t>[8]</w:t>
      </w:r>
      <w:r>
        <w:fldChar w:fldCharType="end"/>
      </w:r>
      <w:r>
        <w:t xml:space="preserve">. </w:t>
      </w:r>
    </w:p>
    <w:tbl>
      <w:tblPr>
        <w:tblStyle w:val="TableGrid"/>
        <w:tblW w:w="0" w:type="auto"/>
        <w:tblLook w:val="04A0" w:firstRow="1" w:lastRow="0" w:firstColumn="1" w:lastColumn="0" w:noHBand="0" w:noVBand="1"/>
      </w:tblPr>
      <w:tblGrid>
        <w:gridCol w:w="9350"/>
      </w:tblGrid>
      <w:tr w:rsidR="00453665" w14:paraId="3A617945" w14:textId="77777777" w:rsidTr="00854324">
        <w:tc>
          <w:tcPr>
            <w:tcW w:w="9350" w:type="dxa"/>
          </w:tcPr>
          <w:p w14:paraId="4ABE106F" w14:textId="77777777" w:rsidR="00453665" w:rsidRPr="00BE11E4" w:rsidRDefault="00453665" w:rsidP="00854324">
            <w:pPr>
              <w:rPr>
                <w:bCs/>
                <w:i/>
                <w:iCs/>
                <w:sz w:val="20"/>
                <w:szCs w:val="20"/>
              </w:rPr>
            </w:pPr>
            <w:r w:rsidRPr="00BE11E4">
              <w:rPr>
                <w:bCs/>
                <w:i/>
                <w:iCs/>
                <w:sz w:val="20"/>
                <w:szCs w:val="20"/>
              </w:rPr>
              <w:t>Observation 4: The SIR-based environment seems to have a stronger impact on TP performance for different device angles when compared to the UE noise-limited environment</w:t>
            </w:r>
          </w:p>
          <w:p w14:paraId="788940B2" w14:textId="77777777" w:rsidR="00453665" w:rsidRPr="00BE11E4" w:rsidRDefault="00453665" w:rsidP="00854324">
            <w:pPr>
              <w:rPr>
                <w:bCs/>
                <w:i/>
                <w:iCs/>
                <w:sz w:val="20"/>
                <w:szCs w:val="20"/>
              </w:rPr>
            </w:pPr>
            <w:r w:rsidRPr="00BE11E4">
              <w:rPr>
                <w:bCs/>
                <w:i/>
                <w:iCs/>
                <w:sz w:val="20"/>
                <w:szCs w:val="20"/>
              </w:rPr>
              <w:t>Observation 5: The UE noise-limited environment in Dynamic MIMO OTA tests does not rank devices in a similar fashion as TRS</w:t>
            </w:r>
          </w:p>
          <w:p w14:paraId="4483ECB7" w14:textId="77777777" w:rsidR="00453665" w:rsidRPr="00BE11E4" w:rsidRDefault="00453665" w:rsidP="00854324">
            <w:pPr>
              <w:rPr>
                <w:bCs/>
                <w:i/>
                <w:iCs/>
                <w:sz w:val="20"/>
                <w:szCs w:val="20"/>
              </w:rPr>
            </w:pPr>
            <w:r w:rsidRPr="00BE11E4">
              <w:rPr>
                <w:bCs/>
                <w:i/>
                <w:iCs/>
                <w:sz w:val="20"/>
                <w:szCs w:val="20"/>
              </w:rPr>
              <w:t>Observation 6: The UE noise-limited environment in Dynamic MIMO OTA tests does not necessarily rank devices in a similar fashion as the SIR-based environment.</w:t>
            </w:r>
          </w:p>
          <w:p w14:paraId="141D12A8" w14:textId="77777777" w:rsidR="00453665" w:rsidRPr="003D7C37" w:rsidRDefault="00453665" w:rsidP="00854324">
            <w:pPr>
              <w:rPr>
                <w:b/>
              </w:rPr>
            </w:pPr>
            <w:r w:rsidRPr="00BE11E4">
              <w:rPr>
                <w:b/>
                <w:sz w:val="20"/>
                <w:szCs w:val="20"/>
              </w:rPr>
              <w:t>Proposal 1: Given the lack of similarities in ranking between TRS, dynamic MIMO OTA with UE noise-limited and SIR-based environments, continue with the UE noise-limited environment in 3GPP for dynamic MIMO OTA.</w:t>
            </w:r>
          </w:p>
        </w:tc>
      </w:tr>
    </w:tbl>
    <w:p w14:paraId="4876156C" w14:textId="77777777" w:rsidR="00453665" w:rsidRDefault="00453665" w:rsidP="00453665"/>
    <w:p w14:paraId="7520A367" w14:textId="2F443C0F" w:rsidR="00453665" w:rsidRDefault="00453665" w:rsidP="00453665">
      <w:r>
        <w:t xml:space="preserve">In May 2024, Keysight provided the following options for path loss </w:t>
      </w:r>
      <w:proofErr w:type="spellStart"/>
      <w:r>
        <w:t>modeling</w:t>
      </w:r>
      <w:proofErr w:type="spellEnd"/>
      <w:r>
        <w:t xml:space="preserve"> in RAN4 </w:t>
      </w:r>
      <w:r>
        <w:fldChar w:fldCharType="begin"/>
      </w:r>
      <w:r>
        <w:instrText xml:space="preserve"> REF _Ref183526585 \w </w:instrText>
      </w:r>
      <w:r>
        <w:fldChar w:fldCharType="separate"/>
      </w:r>
      <w:r w:rsidR="00A27D7F">
        <w:t>[9]</w:t>
      </w:r>
      <w:r>
        <w:fldChar w:fldCharType="end"/>
      </w:r>
      <w:r>
        <w:t>.</w:t>
      </w:r>
    </w:p>
    <w:tbl>
      <w:tblPr>
        <w:tblStyle w:val="TableGrid"/>
        <w:tblW w:w="0" w:type="auto"/>
        <w:tblLook w:val="04A0" w:firstRow="1" w:lastRow="0" w:firstColumn="1" w:lastColumn="0" w:noHBand="0" w:noVBand="1"/>
      </w:tblPr>
      <w:tblGrid>
        <w:gridCol w:w="9350"/>
      </w:tblGrid>
      <w:tr w:rsidR="00453665" w14:paraId="7C756C99" w14:textId="77777777" w:rsidTr="00854324">
        <w:tc>
          <w:tcPr>
            <w:tcW w:w="9350" w:type="dxa"/>
          </w:tcPr>
          <w:p w14:paraId="00299817" w14:textId="77777777" w:rsidR="00453665" w:rsidRPr="00BE11E4" w:rsidRDefault="00453665" w:rsidP="00854324">
            <w:pPr>
              <w:rPr>
                <w:sz w:val="20"/>
                <w:szCs w:val="20"/>
              </w:rPr>
            </w:pPr>
            <w:r w:rsidRPr="00BE11E4">
              <w:rPr>
                <w:sz w:val="20"/>
                <w:szCs w:val="20"/>
              </w:rPr>
              <w:t>The UE Noise-limited approach can be emulated using either of the following options:</w:t>
            </w:r>
          </w:p>
          <w:p w14:paraId="56BC4C99" w14:textId="77777777" w:rsidR="00453665" w:rsidRPr="00BE11E4" w:rsidRDefault="00453665" w:rsidP="00453665">
            <w:pPr>
              <w:pStyle w:val="ListParagraph"/>
              <w:numPr>
                <w:ilvl w:val="0"/>
                <w:numId w:val="6"/>
              </w:numPr>
              <w:spacing w:after="200" w:line="276" w:lineRule="auto"/>
              <w:rPr>
                <w:sz w:val="20"/>
                <w:szCs w:val="20"/>
              </w:rPr>
            </w:pPr>
            <w:r w:rsidRPr="00BE11E4">
              <w:rPr>
                <w:sz w:val="20"/>
                <w:szCs w:val="20"/>
              </w:rPr>
              <w:t xml:space="preserve">Option 1 (Full UMa Pathloss Model per TR 38.901): The signal power takes the full UMa path loss model into account, i.e., the path loss is </w:t>
            </w:r>
            <w:proofErr w:type="spellStart"/>
            <w:r w:rsidRPr="00BE11E4">
              <w:rPr>
                <w:sz w:val="20"/>
                <w:szCs w:val="20"/>
              </w:rPr>
              <w:t>modeled</w:t>
            </w:r>
            <w:proofErr w:type="spellEnd"/>
            <w:r w:rsidRPr="00BE11E4">
              <w:rPr>
                <w:sz w:val="20"/>
                <w:szCs w:val="20"/>
              </w:rPr>
              <w:t xml:space="preserve"> per Table 7.4.1-1 of [10]. The normalized signal power would therefore be </w:t>
            </w:r>
            <w:proofErr w:type="spellStart"/>
            <w:r w:rsidRPr="00BE11E4">
              <w:rPr>
                <w:sz w:val="20"/>
                <w:szCs w:val="20"/>
              </w:rPr>
              <w:t>modeled</w:t>
            </w:r>
            <w:proofErr w:type="spellEnd"/>
            <w:r w:rsidRPr="00BE11E4">
              <w:rPr>
                <w:sz w:val="20"/>
                <w:szCs w:val="20"/>
              </w:rPr>
              <w:t xml:space="preserve"> as illustrated in Figure 5.</w:t>
            </w:r>
          </w:p>
          <w:p w14:paraId="10D363CD" w14:textId="77777777" w:rsidR="00453665" w:rsidRPr="00BE11E4" w:rsidRDefault="00453665" w:rsidP="00453665">
            <w:pPr>
              <w:pStyle w:val="ListParagraph"/>
              <w:numPr>
                <w:ilvl w:val="0"/>
                <w:numId w:val="6"/>
              </w:numPr>
              <w:spacing w:after="200" w:line="276" w:lineRule="auto"/>
              <w:rPr>
                <w:sz w:val="20"/>
                <w:szCs w:val="20"/>
              </w:rPr>
            </w:pPr>
            <w:r w:rsidRPr="00BE11E4">
              <w:rPr>
                <w:sz w:val="20"/>
                <w:szCs w:val="20"/>
              </w:rPr>
              <w:t xml:space="preserve">Option 2 (FSPL and K-factor path loss): The signal power only takes the </w:t>
            </w:r>
            <w:proofErr w:type="gramStart"/>
            <w:r w:rsidRPr="00BE11E4">
              <w:rPr>
                <w:sz w:val="20"/>
                <w:szCs w:val="20"/>
              </w:rPr>
              <w:t>FSPL</w:t>
            </w:r>
            <w:proofErr w:type="gramEnd"/>
            <w:r w:rsidRPr="00BE11E4">
              <w:rPr>
                <w:sz w:val="20"/>
                <w:szCs w:val="20"/>
              </w:rPr>
              <w:t xml:space="preserve"> and the K-factor based path loss, discussed earlier, into account. The normalized signal power would therefore be </w:t>
            </w:r>
            <w:proofErr w:type="spellStart"/>
            <w:r w:rsidRPr="00BE11E4">
              <w:rPr>
                <w:sz w:val="20"/>
                <w:szCs w:val="20"/>
              </w:rPr>
              <w:t>modeled</w:t>
            </w:r>
            <w:proofErr w:type="spellEnd"/>
            <w:r w:rsidRPr="00BE11E4">
              <w:rPr>
                <w:sz w:val="20"/>
                <w:szCs w:val="20"/>
              </w:rPr>
              <w:t xml:space="preserve"> as illustrated in Figure 6.</w:t>
            </w:r>
          </w:p>
          <w:p w14:paraId="18A865A6" w14:textId="77777777" w:rsidR="00453665" w:rsidRPr="00BE11E4" w:rsidRDefault="00453665" w:rsidP="00854324">
            <w:pPr>
              <w:rPr>
                <w:sz w:val="20"/>
                <w:szCs w:val="20"/>
              </w:rPr>
            </w:pPr>
            <w:r w:rsidRPr="00BE11E4">
              <w:rPr>
                <w:sz w:val="20"/>
                <w:szCs w:val="20"/>
              </w:rPr>
              <w:t>The following observations can be drawn from these options.</w:t>
            </w:r>
          </w:p>
          <w:p w14:paraId="0F50514C" w14:textId="77777777" w:rsidR="00453665" w:rsidRPr="00BE11E4" w:rsidRDefault="00453665" w:rsidP="00854324">
            <w:pPr>
              <w:pStyle w:val="Caption"/>
              <w:rPr>
                <w:sz w:val="20"/>
                <w:szCs w:val="20"/>
              </w:rPr>
            </w:pPr>
            <w:bookmarkStart w:id="1" w:name="_Ref166052905"/>
            <w:r w:rsidRPr="00BE11E4">
              <w:rPr>
                <w:sz w:val="20"/>
                <w:szCs w:val="20"/>
              </w:rPr>
              <w:t>Observation 8: The signal power based on the full UMa path loss model, Figure 5, has a very similar shape as the SIR curve of the SIR-based approach, Figure 4, and could result in similar results as the SIR-based approach</w:t>
            </w:r>
            <w:bookmarkEnd w:id="1"/>
          </w:p>
          <w:p w14:paraId="174B88BC" w14:textId="77777777" w:rsidR="00453665" w:rsidRPr="00BE11E4" w:rsidRDefault="00453665" w:rsidP="00854324">
            <w:pPr>
              <w:pStyle w:val="Caption"/>
              <w:rPr>
                <w:sz w:val="20"/>
                <w:szCs w:val="20"/>
              </w:rPr>
            </w:pPr>
            <w:bookmarkStart w:id="2" w:name="_Ref166052906"/>
            <w:r w:rsidRPr="00BE11E4">
              <w:rPr>
                <w:sz w:val="20"/>
                <w:szCs w:val="20"/>
              </w:rPr>
              <w:t>Observation 9: The signal power based on the FSPL &amp; K-factor path loss model, Figure 6, has a very limited dynamic range and could thus result in very limited TP variations.</w:t>
            </w:r>
            <w:bookmarkEnd w:id="2"/>
            <w:r w:rsidRPr="00BE11E4">
              <w:rPr>
                <w:sz w:val="20"/>
                <w:szCs w:val="20"/>
              </w:rPr>
              <w:t xml:space="preserve"> </w:t>
            </w:r>
          </w:p>
          <w:p w14:paraId="47C949A5" w14:textId="77777777" w:rsidR="00453665" w:rsidRPr="00BE11E4" w:rsidRDefault="00453665" w:rsidP="00854324">
            <w:pPr>
              <w:rPr>
                <w:sz w:val="20"/>
                <w:szCs w:val="20"/>
              </w:rPr>
            </w:pPr>
            <w:r w:rsidRPr="00BE11E4">
              <w:rPr>
                <w:sz w:val="20"/>
                <w:szCs w:val="20"/>
              </w:rPr>
              <w:t xml:space="preserve">We believe the Option 1 is the more suitable approach to consider for the UE Noise-limited environment as it follows the path loss model from [10], stresses the device the most, and would likely allow the best differentiation between good and bad performance. </w:t>
            </w:r>
          </w:p>
          <w:p w14:paraId="101B255F" w14:textId="77777777" w:rsidR="00453665" w:rsidRPr="00BE11E4" w:rsidRDefault="00453665" w:rsidP="00854324">
            <w:pPr>
              <w:rPr>
                <w:b/>
                <w:bCs/>
                <w:sz w:val="20"/>
                <w:szCs w:val="20"/>
              </w:rPr>
            </w:pPr>
            <w:bookmarkStart w:id="3" w:name="_Ref166052908"/>
            <w:r w:rsidRPr="00BE11E4">
              <w:rPr>
                <w:b/>
                <w:bCs/>
                <w:sz w:val="20"/>
                <w:szCs w:val="20"/>
              </w:rPr>
              <w:t>Proposal 5: Consider Option 1, i.e., the full path loss model from [10], for the UE Noise-limited environment even though the signal power resembles the SIR curve from the SIR-based environment.</w:t>
            </w:r>
            <w:bookmarkEnd w:id="3"/>
          </w:p>
        </w:tc>
      </w:tr>
    </w:tbl>
    <w:p w14:paraId="3FD42789" w14:textId="68055E09" w:rsidR="00453665" w:rsidRDefault="00453665" w:rsidP="00453665">
      <w:r>
        <w:t xml:space="preserve">Similar to CTIA MOSG </w:t>
      </w:r>
      <w:r>
        <w:fldChar w:fldCharType="begin"/>
      </w:r>
      <w:r>
        <w:instrText xml:space="preserve"> REF _Ref183519636 \w </w:instrText>
      </w:r>
      <w:r>
        <w:fldChar w:fldCharType="separate"/>
      </w:r>
      <w:r w:rsidR="00A27D7F">
        <w:t>[3]</w:t>
      </w:r>
      <w:r>
        <w:fldChar w:fldCharType="end"/>
      </w:r>
      <w:r>
        <w:t xml:space="preserve"> and CTIA operators </w:t>
      </w:r>
      <w:r>
        <w:fldChar w:fldCharType="begin"/>
      </w:r>
      <w:r>
        <w:instrText xml:space="preserve"> REF _Ref183521133 \w </w:instrText>
      </w:r>
      <w:r>
        <w:fldChar w:fldCharType="separate"/>
      </w:r>
      <w:r w:rsidR="00A27D7F">
        <w:t>[4]</w:t>
      </w:r>
      <w:r>
        <w:fldChar w:fldCharType="end"/>
      </w:r>
      <w:r>
        <w:t xml:space="preserve">, RAN4 agreed to take the full path loss model from </w:t>
      </w:r>
      <w:r>
        <w:fldChar w:fldCharType="begin"/>
      </w:r>
      <w:r>
        <w:instrText xml:space="preserve"> REF _Ref183526636 \w </w:instrText>
      </w:r>
      <w:r>
        <w:fldChar w:fldCharType="separate"/>
      </w:r>
      <w:r w:rsidR="00A27D7F">
        <w:t>[10]</w:t>
      </w:r>
      <w:r>
        <w:fldChar w:fldCharType="end"/>
      </w:r>
      <w:r w:rsidR="00957DD8">
        <w:t xml:space="preserve"> for UE </w:t>
      </w:r>
      <w:r w:rsidR="00FB0F6E">
        <w:t>n</w:t>
      </w:r>
      <w:r w:rsidR="00957DD8">
        <w:t>oise-</w:t>
      </w:r>
      <w:r w:rsidR="00FB0F6E">
        <w:t>l</w:t>
      </w:r>
      <w:r w:rsidR="00957DD8">
        <w:t>imited environment</w:t>
      </w:r>
      <w:r>
        <w:t xml:space="preserve">, i.e., Option 1, into account which was captured appropriately in </w:t>
      </w:r>
      <w:r>
        <w:fldChar w:fldCharType="begin"/>
      </w:r>
      <w:r>
        <w:instrText xml:space="preserve"> REF _Ref183526729 \w </w:instrText>
      </w:r>
      <w:r>
        <w:fldChar w:fldCharType="separate"/>
      </w:r>
      <w:r w:rsidR="00A27D7F">
        <w:t>[11]</w:t>
      </w:r>
      <w:r>
        <w:fldChar w:fldCharType="end"/>
      </w:r>
      <w:r>
        <w:fldChar w:fldCharType="begin"/>
      </w:r>
      <w:r>
        <w:instrText xml:space="preserve"> REF _Ref183526840 \w </w:instrText>
      </w:r>
      <w:r>
        <w:fldChar w:fldCharType="separate"/>
      </w:r>
      <w:r w:rsidR="00A27D7F">
        <w:t>[12]</w:t>
      </w:r>
      <w:r>
        <w:fldChar w:fldCharType="end"/>
      </w:r>
      <w:r>
        <w:t xml:space="preserve">. </w:t>
      </w:r>
    </w:p>
    <w:p w14:paraId="48FD99A5" w14:textId="77777777" w:rsidR="00453665" w:rsidRDefault="00453665" w:rsidP="00453665">
      <w:pPr>
        <w:spacing w:after="0"/>
        <w:rPr>
          <w:rFonts w:asciiTheme="majorHAnsi" w:eastAsiaTheme="majorEastAsia" w:hAnsiTheme="majorHAnsi" w:cstheme="majorBidi"/>
          <w:b/>
          <w:color w:val="365F91" w:themeColor="accent1" w:themeShade="BF"/>
          <w:sz w:val="32"/>
          <w:szCs w:val="32"/>
        </w:rPr>
      </w:pPr>
      <w:r>
        <w:br w:type="page"/>
      </w:r>
    </w:p>
    <w:p w14:paraId="43FC37D7" w14:textId="7744F233" w:rsidR="00453665" w:rsidRDefault="00453665" w:rsidP="00453665">
      <w:pPr>
        <w:pStyle w:val="Heading1"/>
      </w:pPr>
      <w:r>
        <w:lastRenderedPageBreak/>
        <w:t xml:space="preserve">Concerns raised in 3GPP RAN4#113 </w:t>
      </w:r>
    </w:p>
    <w:p w14:paraId="3DF71856" w14:textId="38DCBEE7" w:rsidR="00453665" w:rsidRDefault="00453665" w:rsidP="00453665">
      <w:r>
        <w:t xml:space="preserve">In RAN4#113 held in November 2024, a TP to </w:t>
      </w:r>
      <w:r>
        <w:fldChar w:fldCharType="begin"/>
      </w:r>
      <w:r>
        <w:instrText xml:space="preserve"> REF _Ref183526729 \w </w:instrText>
      </w:r>
      <w:r>
        <w:fldChar w:fldCharType="separate"/>
      </w:r>
      <w:r w:rsidR="00A27D7F">
        <w:t>[11]</w:t>
      </w:r>
      <w:r>
        <w:fldChar w:fldCharType="end"/>
      </w:r>
      <w:r>
        <w:t xml:space="preserve"> from Keysight and Spirent </w:t>
      </w:r>
      <w:r>
        <w:fldChar w:fldCharType="begin"/>
      </w:r>
      <w:r>
        <w:instrText xml:space="preserve"> REF _Ref183527110 \w </w:instrText>
      </w:r>
      <w:r>
        <w:fldChar w:fldCharType="separate"/>
      </w:r>
      <w:r w:rsidR="00A27D7F">
        <w:t>[13]</w:t>
      </w:r>
      <w:r>
        <w:fldChar w:fldCharType="end"/>
      </w:r>
      <w:r>
        <w:t xml:space="preserve"> </w:t>
      </w:r>
      <w:r w:rsidR="005F181B">
        <w:t xml:space="preserve">was rejected </w:t>
      </w:r>
      <w:r>
        <w:t xml:space="preserve">as the channel model validation limits for the UMa and UMi channel models were different from those in CTIA for commercial reasons, e.g., fragmentation, need for different licenses, etc. Keysight provided clarification that the differences in path loss models agreed in 3GPP and CTIA lead to differences in channel model validation limits which can be demonstrated for spatial correlation as follows: </w:t>
      </w:r>
    </w:p>
    <w:p w14:paraId="610D1A9E" w14:textId="77777777" w:rsidR="00056614" w:rsidRPr="00A42628" w:rsidRDefault="00C13067" w:rsidP="00056614">
      <w:pPr>
        <w:rPr>
          <w:rFonts w:eastAsiaTheme="minorEastAsia"/>
        </w:rPr>
      </w:pPr>
      <m:oMathPara>
        <m:oMath>
          <m:sSub>
            <m:sSubPr>
              <m:ctrlPr>
                <w:rPr>
                  <w:rFonts w:ascii="Cambria Math" w:hAnsi="Cambria Math"/>
                  <w:i/>
                </w:rPr>
              </m:ctrlPr>
            </m:sSubPr>
            <m:e>
              <m:r>
                <w:rPr>
                  <w:rFonts w:ascii="Cambria Math" w:hAnsi="Cambria Math"/>
                </w:rPr>
                <m:t>ρ</m:t>
              </m:r>
            </m:e>
            <m:sub>
              <m:r>
                <w:rPr>
                  <w:rFonts w:ascii="Cambria Math" w:hAnsi="Cambria Math"/>
                </w:rPr>
                <m:t>s</m:t>
              </m:r>
            </m:sub>
          </m:sSub>
          <m:d>
            <m:dPr>
              <m:ctrlPr>
                <w:rPr>
                  <w:rFonts w:ascii="Cambria Math" w:hAnsi="Cambria Math"/>
                  <w:i/>
                </w:rPr>
              </m:ctrlPr>
            </m:dPr>
            <m:e>
              <m:r>
                <m:rPr>
                  <m:sty m:val="p"/>
                </m:rPr>
                <w:rPr>
                  <w:rFonts w:ascii="Cambria Math" w:hAnsi="Cambria Math"/>
                </w:rPr>
                <m:t>Δ</m:t>
              </m:r>
              <m:r>
                <w:rPr>
                  <w:rFonts w:ascii="Cambria Math" w:hAnsi="Cambria Math"/>
                </w:rPr>
                <m:t>x</m:t>
              </m:r>
            </m:e>
          </m:d>
          <m:r>
            <w:rPr>
              <w:rFonts w:ascii="Cambria Math"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nary>
                    <m:naryPr>
                      <m:chr m:val="∑"/>
                      <m:limLoc m:val="undOvr"/>
                      <m:ctrlPr>
                        <w:rPr>
                          <w:rFonts w:ascii="Cambria Math" w:hAnsi="Cambria Math"/>
                          <w:i/>
                        </w:rPr>
                      </m:ctrlPr>
                    </m:naryPr>
                    <m:sub>
                      <m:r>
                        <w:rPr>
                          <w:rFonts w:ascii="Cambria Math" w:hAnsi="Cambria Math"/>
                        </w:rPr>
                        <m:t>m=0</m:t>
                      </m:r>
                    </m:sub>
                    <m:sup>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-1</m:t>
                      </m:r>
                    </m:sup>
                    <m:e>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n=1</m:t>
                              </m:r>
                            </m:sub>
                            <m:sup/>
                            <m:e>
                              <m:sSub>
                                <m:sSubPr>
                                  <m:ctrlPr>
                                    <w:rPr>
                                      <w:rFonts w:ascii="Cambria Math" w:hAnsi="Cambria Math"/>
                                      <w:i/>
                                    </w:rPr>
                                  </m:ctrlPr>
                                </m:sSubPr>
                                <m:e>
                                  <m:r>
                                    <w:rPr>
                                      <w:rFonts w:ascii="Cambria Math" w:hAnsi="Cambria Math"/>
                                    </w:rPr>
                                    <m:t>P</m:t>
                                  </m:r>
                                </m:e>
                                <m:sub>
                                  <m:r>
                                    <w:rPr>
                                      <w:rFonts w:ascii="Cambria Math" w:hAnsi="Cambria Math"/>
                                    </w:rPr>
                                    <m: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i/>
                                        </w:rPr>
                                      </m:ctrlPr>
                                    </m:sSubPr>
                                    <m:e>
                                      <m:r>
                                        <m:rPr>
                                          <m:sty m:val="p"/>
                                        </m:rPr>
                                        <w:rPr>
                                          <w:rFonts w:ascii="Cambria Math" w:hAnsi="Cambria Math"/>
                                        </w:rPr>
                                        <m:t>Δ</m:t>
                                      </m:r>
                                    </m:e>
                                    <m:sub>
                                      <m:r>
                                        <w:rPr>
                                          <w:rFonts w:ascii="Cambria Math" w:hAnsi="Cambria Math"/>
                                        </w:rPr>
                                        <m:t>t</m:t>
                                      </m:r>
                                    </m:sub>
                                  </m:sSub>
                                </m:e>
                              </m:d>
                              <m:r>
                                <w:rPr>
                                  <w:rFonts w:ascii="Cambria Math" w:hAnsi="Cambria Math"/>
                                </w:rPr>
                                <m:t xml:space="preserve"> </m:t>
                              </m:r>
                            </m:e>
                          </m:nary>
                        </m:num>
                        <m:den>
                          <m:sSub>
                            <m:sSubPr>
                              <m:ctrlPr>
                                <w:rPr>
                                  <w:rFonts w:ascii="Cambria Math" w:hAnsi="Cambria Math"/>
                                  <w:i/>
                                  <w:color w:val="C00000"/>
                                </w:rPr>
                              </m:ctrlPr>
                            </m:sSubPr>
                            <m:e>
                              <m:r>
                                <w:rPr>
                                  <w:rFonts w:ascii="Cambria Math" w:hAnsi="Cambria Math"/>
                                  <w:color w:val="C00000"/>
                                </w:rPr>
                                <m:t>L</m:t>
                              </m:r>
                            </m:e>
                            <m:sub>
                              <m:r>
                                <m:rPr>
                                  <m:sty m:val="p"/>
                                </m:rPr>
                                <w:rPr>
                                  <w:rFonts w:ascii="Cambria Math" w:hAnsi="Cambria Math"/>
                                  <w:color w:val="C00000"/>
                                </w:rPr>
                                <m:t>CTIA</m:t>
                              </m:r>
                            </m:sub>
                          </m:sSub>
                          <m:d>
                            <m:dPr>
                              <m:ctrlPr>
                                <w:rPr>
                                  <w:rFonts w:ascii="Cambria Math" w:hAnsi="Cambria Math"/>
                                  <w:i/>
                                  <w:color w:val="C00000"/>
                                </w:rPr>
                              </m:ctrlPr>
                            </m:dPr>
                            <m:e>
                              <m:sSub>
                                <m:sSubPr>
                                  <m:ctrlPr>
                                    <w:rPr>
                                      <w:rFonts w:ascii="Cambria Math" w:hAnsi="Cambria Math"/>
                                      <w:i/>
                                      <w:color w:val="C00000"/>
                                    </w:rPr>
                                  </m:ctrlPr>
                                </m:sSubPr>
                                <m:e>
                                  <m:r>
                                    <w:rPr>
                                      <w:rFonts w:ascii="Cambria Math" w:hAnsi="Cambria Math"/>
                                      <w:color w:val="C00000"/>
                                    </w:rPr>
                                    <m:t>t</m:t>
                                  </m:r>
                                </m:e>
                                <m:sub>
                                  <m:r>
                                    <w:rPr>
                                      <w:rFonts w:ascii="Cambria Math" w:hAnsi="Cambria Math"/>
                                      <w:color w:val="C00000"/>
                                    </w:rPr>
                                    <m:t>s,0</m:t>
                                  </m:r>
                                </m:sub>
                              </m:sSub>
                              <m:r>
                                <w:rPr>
                                  <w:rFonts w:ascii="Cambria Math" w:hAnsi="Cambria Math"/>
                                  <w:color w:val="C00000"/>
                                </w:rPr>
                                <m:t xml:space="preserve">+m </m:t>
                              </m:r>
                              <m:sSub>
                                <m:sSubPr>
                                  <m:ctrlPr>
                                    <w:rPr>
                                      <w:rFonts w:ascii="Cambria Math" w:hAnsi="Cambria Math"/>
                                      <w:i/>
                                      <w:color w:val="C00000"/>
                                    </w:rPr>
                                  </m:ctrlPr>
                                </m:sSubPr>
                                <m:e>
                                  <m:r>
                                    <m:rPr>
                                      <m:sty m:val="p"/>
                                    </m:rPr>
                                    <w:rPr>
                                      <w:rFonts w:ascii="Cambria Math" w:hAnsi="Cambria Math"/>
                                      <w:color w:val="C00000"/>
                                    </w:rPr>
                                    <m:t>Δ</m:t>
                                  </m:r>
                                </m:e>
                                <m:sub>
                                  <m:r>
                                    <w:rPr>
                                      <w:rFonts w:ascii="Cambria Math" w:hAnsi="Cambria Math"/>
                                      <w:color w:val="C00000"/>
                                    </w:rPr>
                                    <m:t>t</m:t>
                                  </m:r>
                                </m:sub>
                              </m:sSub>
                            </m:e>
                          </m:d>
                        </m:den>
                      </m:f>
                    </m:e>
                  </m:nary>
                </m:e>
              </m:d>
            </m:e>
            <m:sup>
              <m:r>
                <w:rPr>
                  <w:rFonts w:ascii="Cambria Math" w:eastAsiaTheme="minorEastAsia" w:hAnsi="Cambria Math"/>
                </w:rPr>
                <m:t>-1</m:t>
              </m:r>
            </m:sup>
          </m:sSup>
          <m:r>
            <w:rPr>
              <w:rFonts w:ascii="Cambria Math" w:eastAsiaTheme="minorEastAsia" w:hAnsi="Cambria Math"/>
            </w:rPr>
            <m:t xml:space="preserve"> </m:t>
          </m:r>
          <m:nary>
            <m:naryPr>
              <m:chr m:val="∑"/>
              <m:limLoc m:val="undOvr"/>
              <m:ctrlPr>
                <w:rPr>
                  <w:rFonts w:ascii="Cambria Math" w:hAnsi="Cambria Math"/>
                  <w:i/>
                </w:rPr>
              </m:ctrlPr>
            </m:naryPr>
            <m:sub>
              <m:r>
                <w:rPr>
                  <w:rFonts w:ascii="Cambria Math" w:hAnsi="Cambria Math"/>
                </w:rPr>
                <m:t>m=0</m:t>
              </m:r>
            </m:sub>
            <m:sup>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-1</m:t>
              </m:r>
            </m:sup>
            <m:e>
              <m:nary>
                <m:naryPr>
                  <m:chr m:val="∑"/>
                  <m:limLoc m:val="undOvr"/>
                  <m:supHide m:val="1"/>
                  <m:ctrlPr>
                    <w:rPr>
                      <w:rFonts w:ascii="Cambria Math" w:hAnsi="Cambria Math"/>
                      <w:i/>
                    </w:rPr>
                  </m:ctrlPr>
                </m:naryPr>
                <m:sub>
                  <m:r>
                    <w:rPr>
                      <w:rFonts w:ascii="Cambria Math" w:hAnsi="Cambria Math"/>
                    </w:rPr>
                    <m:t>n=1</m:t>
                  </m:r>
                </m:sub>
                <m:sup/>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i/>
                                </w:rPr>
                              </m:ctrlPr>
                            </m:sSubPr>
                            <m:e>
                              <m:r>
                                <m:rPr>
                                  <m:sty m:val="p"/>
                                </m:rPr>
                                <w:rPr>
                                  <w:rFonts w:ascii="Cambria Math" w:hAnsi="Cambria Math"/>
                                </w:rPr>
                                <m:t>Δ</m:t>
                              </m:r>
                            </m:e>
                            <m:sub>
                              <m:r>
                                <w:rPr>
                                  <w:rFonts w:ascii="Cambria Math" w:hAnsi="Cambria Math"/>
                                </w:rPr>
                                <m:t>t</m:t>
                              </m:r>
                            </m:sub>
                          </m:sSub>
                        </m:e>
                      </m:d>
                    </m:num>
                    <m:den>
                      <m:sSub>
                        <m:sSubPr>
                          <m:ctrlPr>
                            <w:rPr>
                              <w:rFonts w:ascii="Cambria Math" w:hAnsi="Cambria Math"/>
                              <w:i/>
                              <w:color w:val="C00000"/>
                            </w:rPr>
                          </m:ctrlPr>
                        </m:sSubPr>
                        <m:e>
                          <m:r>
                            <w:rPr>
                              <w:rFonts w:ascii="Cambria Math" w:hAnsi="Cambria Math"/>
                              <w:color w:val="C00000"/>
                            </w:rPr>
                            <m:t>L</m:t>
                          </m:r>
                        </m:e>
                        <m:sub>
                          <m:r>
                            <m:rPr>
                              <m:sty m:val="p"/>
                            </m:rPr>
                            <w:rPr>
                              <w:rFonts w:ascii="Cambria Math" w:hAnsi="Cambria Math"/>
                              <w:color w:val="C00000"/>
                            </w:rPr>
                            <m:t>CTIA</m:t>
                          </m:r>
                        </m:sub>
                      </m:sSub>
                      <m:d>
                        <m:dPr>
                          <m:ctrlPr>
                            <w:rPr>
                              <w:rFonts w:ascii="Cambria Math" w:hAnsi="Cambria Math"/>
                              <w:i/>
                              <w:color w:val="C00000"/>
                            </w:rPr>
                          </m:ctrlPr>
                        </m:dPr>
                        <m:e>
                          <m:sSub>
                            <m:sSubPr>
                              <m:ctrlPr>
                                <w:rPr>
                                  <w:rFonts w:ascii="Cambria Math" w:hAnsi="Cambria Math"/>
                                  <w:i/>
                                  <w:color w:val="C00000"/>
                                </w:rPr>
                              </m:ctrlPr>
                            </m:sSubPr>
                            <m:e>
                              <m:r>
                                <w:rPr>
                                  <w:rFonts w:ascii="Cambria Math" w:hAnsi="Cambria Math"/>
                                  <w:color w:val="C00000"/>
                                </w:rPr>
                                <m:t>t</m:t>
                              </m:r>
                            </m:e>
                            <m:sub>
                              <m:r>
                                <w:rPr>
                                  <w:rFonts w:ascii="Cambria Math" w:hAnsi="Cambria Math"/>
                                  <w:color w:val="C00000"/>
                                </w:rPr>
                                <m:t>s,0</m:t>
                              </m:r>
                            </m:sub>
                          </m:sSub>
                          <m:r>
                            <w:rPr>
                              <w:rFonts w:ascii="Cambria Math" w:hAnsi="Cambria Math"/>
                              <w:color w:val="C00000"/>
                            </w:rPr>
                            <m:t xml:space="preserve">+m </m:t>
                          </m:r>
                          <m:sSub>
                            <m:sSubPr>
                              <m:ctrlPr>
                                <w:rPr>
                                  <w:rFonts w:ascii="Cambria Math" w:hAnsi="Cambria Math"/>
                                  <w:i/>
                                  <w:color w:val="C00000"/>
                                </w:rPr>
                              </m:ctrlPr>
                            </m:sSubPr>
                            <m:e>
                              <m:r>
                                <m:rPr>
                                  <m:sty m:val="p"/>
                                </m:rPr>
                                <w:rPr>
                                  <w:rFonts w:ascii="Cambria Math" w:hAnsi="Cambria Math"/>
                                  <w:color w:val="C00000"/>
                                </w:rPr>
                                <m:t>Δ</m:t>
                              </m:r>
                            </m:e>
                            <m:sub>
                              <m:r>
                                <w:rPr>
                                  <w:rFonts w:ascii="Cambria Math" w:hAnsi="Cambria Math"/>
                                  <w:color w:val="C00000"/>
                                </w:rPr>
                                <m:t>t</m:t>
                              </m:r>
                            </m:sub>
                          </m:sSub>
                        </m:e>
                      </m:d>
                    </m:den>
                  </m:f>
                  <m:func>
                    <m:funcPr>
                      <m:ctrlPr>
                        <w:rPr>
                          <w:rFonts w:ascii="Cambria Math" w:hAnsi="Cambria Math"/>
                          <w:i/>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j2πΔ</m:t>
                          </m:r>
                          <m:r>
                            <w:rPr>
                              <w:rFonts w:ascii="Cambria Math" w:hAnsi="Cambria Math"/>
                            </w:rPr>
                            <m:t>x</m:t>
                          </m:r>
                          <m:sSub>
                            <m:sSubPr>
                              <m:ctrlPr>
                                <w:rPr>
                                  <w:rFonts w:ascii="Cambria Math" w:hAnsi="Cambria Math"/>
                                </w:rPr>
                              </m:ctrlPr>
                            </m:sSubPr>
                            <m:e>
                              <m:r>
                                <m:rPr>
                                  <m:sty m:val="p"/>
                                </m:rPr>
                                <w:rPr>
                                  <w:rFonts w:ascii="Cambria Math" w:hAnsi="Cambria Math"/>
                                </w:rPr>
                                <m:t>Ω</m:t>
                              </m:r>
                            </m:e>
                            <m:sub>
                              <m:r>
                                <w:rPr>
                                  <w:rFonts w:ascii="Cambria Math" w:hAnsi="Cambria Math"/>
                                </w:rPr>
                                <m: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i/>
                                    </w:rPr>
                                  </m:ctrlPr>
                                </m:sSubPr>
                                <m:e>
                                  <m:r>
                                    <m:rPr>
                                      <m:sty m:val="p"/>
                                    </m:rPr>
                                    <w:rPr>
                                      <w:rFonts w:ascii="Cambria Math" w:hAnsi="Cambria Math"/>
                                    </w:rPr>
                                    <m:t>Δ</m:t>
                                  </m:r>
                                </m:e>
                                <m:sub>
                                  <m:r>
                                    <w:rPr>
                                      <w:rFonts w:ascii="Cambria Math" w:hAnsi="Cambria Math"/>
                                    </w:rPr>
                                    <m:t>t</m:t>
                                  </m:r>
                                </m:sub>
                              </m:sSub>
                            </m:e>
                          </m:d>
                        </m:e>
                      </m:d>
                    </m:e>
                  </m:func>
                  <m:r>
                    <w:rPr>
                      <w:rFonts w:ascii="Cambria Math" w:hAnsi="Cambria Math"/>
                    </w:rPr>
                    <m:t xml:space="preserve"> </m:t>
                  </m:r>
                </m:e>
              </m:nary>
            </m:e>
          </m:nary>
        </m:oMath>
      </m:oMathPara>
    </w:p>
    <w:p w14:paraId="4B6D5DEE" w14:textId="4EC313D6" w:rsidR="00453665" w:rsidRPr="00A42628" w:rsidRDefault="00C13067" w:rsidP="00056614">
      <w:pPr>
        <w:rPr>
          <w:rFonts w:eastAsiaTheme="minorEastAsia"/>
        </w:rPr>
      </w:pPr>
      <m:oMathPara>
        <m:oMath>
          <m:sSub>
            <m:sSubPr>
              <m:ctrlPr>
                <w:rPr>
                  <w:rFonts w:ascii="Cambria Math" w:hAnsi="Cambria Math"/>
                  <w:i/>
                </w:rPr>
              </m:ctrlPr>
            </m:sSubPr>
            <m:e>
              <m:r>
                <w:rPr>
                  <w:rFonts w:ascii="Cambria Math" w:hAnsi="Cambria Math"/>
                </w:rPr>
                <m:t>ρ</m:t>
              </m:r>
            </m:e>
            <m:sub>
              <m:r>
                <w:rPr>
                  <w:rFonts w:ascii="Cambria Math" w:hAnsi="Cambria Math"/>
                </w:rPr>
                <m:t>s</m:t>
              </m:r>
            </m:sub>
          </m:sSub>
          <m:d>
            <m:dPr>
              <m:ctrlPr>
                <w:rPr>
                  <w:rFonts w:ascii="Cambria Math" w:hAnsi="Cambria Math"/>
                  <w:i/>
                </w:rPr>
              </m:ctrlPr>
            </m:dPr>
            <m:e>
              <m:r>
                <m:rPr>
                  <m:sty m:val="p"/>
                </m:rPr>
                <w:rPr>
                  <w:rFonts w:ascii="Cambria Math" w:hAnsi="Cambria Math"/>
                </w:rPr>
                <m:t>Δ</m:t>
              </m:r>
              <m:r>
                <w:rPr>
                  <w:rFonts w:ascii="Cambria Math" w:hAnsi="Cambria Math"/>
                </w:rPr>
                <m:t>x</m:t>
              </m:r>
            </m:e>
          </m:d>
          <m:r>
            <w:rPr>
              <w:rFonts w:ascii="Cambria Math"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nary>
                    <m:naryPr>
                      <m:chr m:val="∑"/>
                      <m:limLoc m:val="undOvr"/>
                      <m:ctrlPr>
                        <w:rPr>
                          <w:rFonts w:ascii="Cambria Math" w:hAnsi="Cambria Math"/>
                          <w:i/>
                        </w:rPr>
                      </m:ctrlPr>
                    </m:naryPr>
                    <m:sub>
                      <m:r>
                        <w:rPr>
                          <w:rFonts w:ascii="Cambria Math" w:hAnsi="Cambria Math"/>
                        </w:rPr>
                        <m:t>m=0</m:t>
                      </m:r>
                    </m:sub>
                    <m:sup>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-1</m:t>
                      </m:r>
                    </m:sup>
                    <m:e>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n=1</m:t>
                              </m:r>
                            </m:sub>
                            <m:sup/>
                            <m:e>
                              <m:sSub>
                                <m:sSubPr>
                                  <m:ctrlPr>
                                    <w:rPr>
                                      <w:rFonts w:ascii="Cambria Math" w:hAnsi="Cambria Math"/>
                                      <w:i/>
                                    </w:rPr>
                                  </m:ctrlPr>
                                </m:sSubPr>
                                <m:e>
                                  <m:r>
                                    <w:rPr>
                                      <w:rFonts w:ascii="Cambria Math" w:hAnsi="Cambria Math"/>
                                    </w:rPr>
                                    <m:t>P</m:t>
                                  </m:r>
                                </m:e>
                                <m:sub>
                                  <m:r>
                                    <w:rPr>
                                      <w:rFonts w:ascii="Cambria Math" w:hAnsi="Cambria Math"/>
                                    </w:rPr>
                                    <m: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i/>
                                        </w:rPr>
                                      </m:ctrlPr>
                                    </m:sSubPr>
                                    <m:e>
                                      <m:r>
                                        <m:rPr>
                                          <m:sty m:val="p"/>
                                        </m:rPr>
                                        <w:rPr>
                                          <w:rFonts w:ascii="Cambria Math" w:hAnsi="Cambria Math"/>
                                        </w:rPr>
                                        <m:t>Δ</m:t>
                                      </m:r>
                                    </m:e>
                                    <m:sub>
                                      <m:r>
                                        <w:rPr>
                                          <w:rFonts w:ascii="Cambria Math" w:hAnsi="Cambria Math"/>
                                        </w:rPr>
                                        <m:t>t</m:t>
                                      </m:r>
                                    </m:sub>
                                  </m:sSub>
                                </m:e>
                              </m:d>
                              <m:r>
                                <w:rPr>
                                  <w:rFonts w:ascii="Cambria Math" w:hAnsi="Cambria Math"/>
                                </w:rPr>
                                <m:t xml:space="preserve"> </m:t>
                              </m:r>
                            </m:e>
                          </m:nary>
                        </m:num>
                        <m:den>
                          <m:sSub>
                            <m:sSubPr>
                              <m:ctrlPr>
                                <w:rPr>
                                  <w:rFonts w:ascii="Cambria Math" w:hAnsi="Cambria Math"/>
                                  <w:i/>
                                  <w:color w:val="0070C0"/>
                                </w:rPr>
                              </m:ctrlPr>
                            </m:sSubPr>
                            <m:e>
                              <m:r>
                                <w:rPr>
                                  <w:rFonts w:ascii="Cambria Math" w:hAnsi="Cambria Math"/>
                                  <w:color w:val="0070C0"/>
                                </w:rPr>
                                <m:t>L</m:t>
                              </m:r>
                            </m:e>
                            <m:sub>
                              <m:r>
                                <m:rPr>
                                  <m:sty m:val="p"/>
                                </m:rPr>
                                <w:rPr>
                                  <w:rFonts w:ascii="Cambria Math" w:hAnsi="Cambria Math"/>
                                  <w:color w:val="0070C0"/>
                                </w:rPr>
                                <m:t>3GPP</m:t>
                              </m:r>
                            </m:sub>
                          </m:sSub>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s,0</m:t>
                                  </m:r>
                                </m:sub>
                              </m:sSub>
                              <m:r>
                                <w:rPr>
                                  <w:rFonts w:ascii="Cambria Math" w:hAnsi="Cambria Math"/>
                                  <w:color w:val="0070C0"/>
                                </w:rPr>
                                <m:t xml:space="preserve">+m </m:t>
                              </m:r>
                              <m:sSub>
                                <m:sSubPr>
                                  <m:ctrlPr>
                                    <w:rPr>
                                      <w:rFonts w:ascii="Cambria Math" w:hAnsi="Cambria Math"/>
                                      <w:i/>
                                      <w:color w:val="0070C0"/>
                                    </w:rPr>
                                  </m:ctrlPr>
                                </m:sSubPr>
                                <m:e>
                                  <m:r>
                                    <m:rPr>
                                      <m:sty m:val="p"/>
                                    </m:rPr>
                                    <w:rPr>
                                      <w:rFonts w:ascii="Cambria Math" w:hAnsi="Cambria Math"/>
                                      <w:color w:val="0070C0"/>
                                    </w:rPr>
                                    <m:t>Δ</m:t>
                                  </m:r>
                                </m:e>
                                <m:sub>
                                  <m:r>
                                    <w:rPr>
                                      <w:rFonts w:ascii="Cambria Math" w:hAnsi="Cambria Math"/>
                                      <w:color w:val="0070C0"/>
                                    </w:rPr>
                                    <m:t>t</m:t>
                                  </m:r>
                                </m:sub>
                              </m:sSub>
                            </m:e>
                          </m:d>
                        </m:den>
                      </m:f>
                    </m:e>
                  </m:nary>
                </m:e>
              </m:d>
            </m:e>
            <m:sup>
              <m:r>
                <w:rPr>
                  <w:rFonts w:ascii="Cambria Math" w:eastAsiaTheme="minorEastAsia" w:hAnsi="Cambria Math"/>
                </w:rPr>
                <m:t>-1</m:t>
              </m:r>
            </m:sup>
          </m:sSup>
          <m:nary>
            <m:naryPr>
              <m:chr m:val="∑"/>
              <m:limLoc m:val="undOvr"/>
              <m:ctrlPr>
                <w:rPr>
                  <w:rFonts w:ascii="Cambria Math" w:hAnsi="Cambria Math"/>
                  <w:i/>
                </w:rPr>
              </m:ctrlPr>
            </m:naryPr>
            <m:sub>
              <m:r>
                <w:rPr>
                  <w:rFonts w:ascii="Cambria Math" w:hAnsi="Cambria Math"/>
                </w:rPr>
                <m:t>m=0</m:t>
              </m:r>
            </m:sub>
            <m:sup>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-1</m:t>
              </m:r>
            </m:sup>
            <m:e>
              <m:nary>
                <m:naryPr>
                  <m:chr m:val="∑"/>
                  <m:limLoc m:val="undOvr"/>
                  <m:supHide m:val="1"/>
                  <m:ctrlPr>
                    <w:rPr>
                      <w:rFonts w:ascii="Cambria Math" w:hAnsi="Cambria Math"/>
                      <w:i/>
                    </w:rPr>
                  </m:ctrlPr>
                </m:naryPr>
                <m:sub>
                  <m:r>
                    <w:rPr>
                      <w:rFonts w:ascii="Cambria Math" w:hAnsi="Cambria Math"/>
                    </w:rPr>
                    <m:t>n=1</m:t>
                  </m:r>
                </m:sub>
                <m:sup/>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i/>
                                </w:rPr>
                              </m:ctrlPr>
                            </m:sSubPr>
                            <m:e>
                              <m:r>
                                <m:rPr>
                                  <m:sty m:val="p"/>
                                </m:rPr>
                                <w:rPr>
                                  <w:rFonts w:ascii="Cambria Math" w:hAnsi="Cambria Math"/>
                                </w:rPr>
                                <m:t>Δ</m:t>
                              </m:r>
                            </m:e>
                            <m:sub>
                              <m:r>
                                <w:rPr>
                                  <w:rFonts w:ascii="Cambria Math" w:hAnsi="Cambria Math"/>
                                </w:rPr>
                                <m:t>t</m:t>
                              </m:r>
                            </m:sub>
                          </m:sSub>
                        </m:e>
                      </m:d>
                    </m:num>
                    <m:den>
                      <m:sSub>
                        <m:sSubPr>
                          <m:ctrlPr>
                            <w:rPr>
                              <w:rFonts w:ascii="Cambria Math" w:hAnsi="Cambria Math"/>
                              <w:i/>
                              <w:color w:val="0070C0"/>
                            </w:rPr>
                          </m:ctrlPr>
                        </m:sSubPr>
                        <m:e>
                          <m:r>
                            <w:rPr>
                              <w:rFonts w:ascii="Cambria Math" w:hAnsi="Cambria Math"/>
                              <w:color w:val="0070C0"/>
                            </w:rPr>
                            <m:t>L</m:t>
                          </m:r>
                        </m:e>
                        <m:sub>
                          <m:r>
                            <m:rPr>
                              <m:sty m:val="p"/>
                            </m:rPr>
                            <w:rPr>
                              <w:rFonts w:ascii="Cambria Math" w:hAnsi="Cambria Math"/>
                              <w:color w:val="0070C0"/>
                            </w:rPr>
                            <m:t>3GPP</m:t>
                          </m:r>
                        </m:sub>
                      </m:sSub>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s,0</m:t>
                              </m:r>
                            </m:sub>
                          </m:sSub>
                          <m:r>
                            <w:rPr>
                              <w:rFonts w:ascii="Cambria Math" w:hAnsi="Cambria Math"/>
                              <w:color w:val="0070C0"/>
                            </w:rPr>
                            <m:t xml:space="preserve">+m </m:t>
                          </m:r>
                          <m:sSub>
                            <m:sSubPr>
                              <m:ctrlPr>
                                <w:rPr>
                                  <w:rFonts w:ascii="Cambria Math" w:hAnsi="Cambria Math"/>
                                  <w:i/>
                                  <w:color w:val="0070C0"/>
                                </w:rPr>
                              </m:ctrlPr>
                            </m:sSubPr>
                            <m:e>
                              <m:r>
                                <m:rPr>
                                  <m:sty m:val="p"/>
                                </m:rPr>
                                <w:rPr>
                                  <w:rFonts w:ascii="Cambria Math" w:hAnsi="Cambria Math"/>
                                  <w:color w:val="0070C0"/>
                                </w:rPr>
                                <m:t>Δ</m:t>
                              </m:r>
                            </m:e>
                            <m:sub>
                              <m:r>
                                <w:rPr>
                                  <w:rFonts w:ascii="Cambria Math" w:hAnsi="Cambria Math"/>
                                  <w:color w:val="0070C0"/>
                                </w:rPr>
                                <m:t>t</m:t>
                              </m:r>
                            </m:sub>
                          </m:sSub>
                        </m:e>
                      </m:d>
                    </m:den>
                  </m:f>
                  <m:func>
                    <m:funcPr>
                      <m:ctrlPr>
                        <w:rPr>
                          <w:rFonts w:ascii="Cambria Math" w:hAnsi="Cambria Math"/>
                          <w:i/>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j2πΔ</m:t>
                          </m:r>
                          <m:r>
                            <w:rPr>
                              <w:rFonts w:ascii="Cambria Math" w:hAnsi="Cambria Math"/>
                            </w:rPr>
                            <m:t>x</m:t>
                          </m:r>
                          <m:sSub>
                            <m:sSubPr>
                              <m:ctrlPr>
                                <w:rPr>
                                  <w:rFonts w:ascii="Cambria Math" w:hAnsi="Cambria Math"/>
                                </w:rPr>
                              </m:ctrlPr>
                            </m:sSubPr>
                            <m:e>
                              <m:r>
                                <m:rPr>
                                  <m:sty m:val="p"/>
                                </m:rPr>
                                <w:rPr>
                                  <w:rFonts w:ascii="Cambria Math" w:hAnsi="Cambria Math"/>
                                </w:rPr>
                                <m:t>Ω</m:t>
                              </m:r>
                            </m:e>
                            <m:sub>
                              <m:r>
                                <w:rPr>
                                  <w:rFonts w:ascii="Cambria Math" w:hAnsi="Cambria Math"/>
                                </w:rPr>
                                <m: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i/>
                                    </w:rPr>
                                  </m:ctrlPr>
                                </m:sSubPr>
                                <m:e>
                                  <m:r>
                                    <m:rPr>
                                      <m:sty m:val="p"/>
                                    </m:rPr>
                                    <w:rPr>
                                      <w:rFonts w:ascii="Cambria Math" w:hAnsi="Cambria Math"/>
                                    </w:rPr>
                                    <m:t>Δ</m:t>
                                  </m:r>
                                </m:e>
                                <m:sub>
                                  <m:r>
                                    <w:rPr>
                                      <w:rFonts w:ascii="Cambria Math" w:hAnsi="Cambria Math"/>
                                    </w:rPr>
                                    <m:t>t</m:t>
                                  </m:r>
                                </m:sub>
                              </m:sSub>
                            </m:e>
                          </m:d>
                        </m:e>
                      </m:d>
                    </m:e>
                  </m:func>
                  <m:r>
                    <w:rPr>
                      <w:rFonts w:ascii="Cambria Math" w:hAnsi="Cambria Math"/>
                    </w:rPr>
                    <m:t xml:space="preserve"> </m:t>
                  </m:r>
                </m:e>
              </m:nary>
            </m:e>
          </m:nary>
        </m:oMath>
      </m:oMathPara>
    </w:p>
    <w:p w14:paraId="06E32B27" w14:textId="536902DC" w:rsidR="00453665" w:rsidRDefault="00453665" w:rsidP="00453665">
      <w:r w:rsidRPr="00776E68">
        <w:rPr>
          <w:rFonts w:eastAsiaTheme="minorEastAsia"/>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776E68">
        <w:rPr>
          <w:rFonts w:eastAsiaTheme="minorEastAsia"/>
        </w:rPr>
        <w:t xml:space="preserve"> are the identical relative average path powers</w:t>
      </w:r>
      <w:r w:rsidR="00F00DB8" w:rsidRPr="00F00DB8">
        <w:rPr>
          <w:rFonts w:eastAsiaTheme="minorEastAsia"/>
        </w:rPr>
        <w:t xml:space="preserve"> </w:t>
      </w:r>
      <w:r w:rsidR="00F00DB8">
        <w:rPr>
          <w:rFonts w:eastAsiaTheme="minorEastAsia"/>
        </w:rPr>
        <w:t xml:space="preserve">and </w:t>
      </w:r>
      <m:oMath>
        <m:nary>
          <m:naryPr>
            <m:chr m:val="∑"/>
            <m:limLoc m:val="undOvr"/>
            <m:subHide m:val="1"/>
            <m:supHide m:val="1"/>
            <m:ctrlPr>
              <w:rPr>
                <w:rFonts w:ascii="Cambria Math" w:eastAsiaTheme="minorEastAsia" w:hAnsi="Cambria Math"/>
                <w:i/>
              </w:rPr>
            </m:ctrlPr>
          </m:naryPr>
          <m:sub/>
          <m:sup/>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e>
        </m:nary>
        <m:r>
          <w:rPr>
            <w:rFonts w:ascii="Cambria Math" w:eastAsiaTheme="minorEastAsia" w:hAnsi="Cambria Math"/>
          </w:rPr>
          <m:t>=1</m:t>
        </m:r>
      </m:oMath>
      <w:r w:rsidRPr="00776E68">
        <w:rPr>
          <w:rFonts w:eastAsiaTheme="minorEastAsia"/>
        </w:rPr>
        <w:t xml:space="preserve">, </w:t>
      </w:r>
      <m:oMath>
        <m:sSub>
          <m:sSubPr>
            <m:ctrlPr>
              <w:rPr>
                <w:rFonts w:ascii="Cambria Math" w:hAnsi="Cambria Math"/>
              </w:rPr>
            </m:ctrlPr>
          </m:sSubPr>
          <m:e>
            <m:r>
              <m:rPr>
                <m:sty m:val="p"/>
              </m:rPr>
              <w:rPr>
                <w:rFonts w:ascii="Cambria Math" w:hAnsi="Cambria Math"/>
              </w:rPr>
              <m:t>Ω</m:t>
            </m:r>
          </m:e>
          <m:sub>
            <m:r>
              <w:rPr>
                <w:rFonts w:ascii="Cambria Math" w:hAnsi="Cambria Math"/>
              </w:rPr>
              <m:t>n</m:t>
            </m:r>
          </m:sub>
        </m:sSub>
      </m:oMath>
      <w:r w:rsidRPr="00776E68">
        <w:rPr>
          <w:rFonts w:eastAsiaTheme="minorEastAsia"/>
        </w:rPr>
        <w:t xml:space="preserve"> are the identical path angles, </w:t>
      </w:r>
      <m:oMath>
        <m:r>
          <m:rPr>
            <m:sty m:val="p"/>
          </m:rPr>
          <w:rPr>
            <w:rFonts w:ascii="Cambria Math" w:hAnsi="Cambria Math"/>
          </w:rPr>
          <m:t>Δ</m:t>
        </m:r>
        <m:r>
          <w:rPr>
            <w:rFonts w:ascii="Cambria Math" w:hAnsi="Cambria Math"/>
          </w:rPr>
          <m:t>x</m:t>
        </m:r>
      </m:oMath>
      <w:r w:rsidRPr="00776E68">
        <w:rPr>
          <w:rFonts w:eastAsiaTheme="minorEastAsia"/>
        </w:rPr>
        <w:t xml:space="preserve"> is the spatial displacement</w:t>
      </w:r>
      <w:r w:rsidR="00622523">
        <w:rPr>
          <w:rFonts w:eastAsiaTheme="minorEastAsia"/>
        </w:rPr>
        <w:t xml:space="preserve"> between two antenna elements</w:t>
      </w:r>
      <w:r w:rsidRPr="00776E68">
        <w:rPr>
          <w:rFonts w:eastAsiaTheme="minor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s,0</m:t>
            </m:r>
          </m:sub>
        </m:sSub>
      </m:oMath>
      <w:r w:rsidRPr="00776E68">
        <w:t xml:space="preserve"> is the first time instant of segment </w:t>
      </w:r>
      <m:oMath>
        <m:r>
          <w:rPr>
            <w:rFonts w:ascii="Cambria Math" w:hAnsi="Cambria Math"/>
          </w:rPr>
          <m:t>s</m:t>
        </m:r>
      </m:oMath>
      <w:r w:rsidRPr="00776E68">
        <w:t xml:space="preserve">, </w:t>
      </w:r>
      <m:oMath>
        <m:r>
          <w:rPr>
            <w:rFonts w:ascii="Cambria Math" w:hAnsi="Cambria Math"/>
          </w:rPr>
          <m:t>m=0,1,…,</m:t>
        </m:r>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-1</m:t>
        </m:r>
      </m:oMath>
      <w:r w:rsidRPr="00776E68">
        <w:t xml:space="preserve"> is the index of time instants, and </w:t>
      </w:r>
      <m:oMath>
        <m:sSub>
          <m:sSubPr>
            <m:ctrlPr>
              <w:rPr>
                <w:rFonts w:ascii="Cambria Math" w:hAnsi="Cambria Math"/>
                <w:i/>
              </w:rPr>
            </m:ctrlPr>
          </m:sSubPr>
          <m:e>
            <m:r>
              <m:rPr>
                <m:sty m:val="p"/>
              </m:rPr>
              <w:rPr>
                <w:rFonts w:ascii="Cambria Math" w:hAnsi="Cambria Math"/>
              </w:rPr>
              <m:t>Δ</m:t>
            </m:r>
          </m:e>
          <m:sub>
            <m:r>
              <w:rPr>
                <w:rFonts w:ascii="Cambria Math" w:hAnsi="Cambria Math"/>
              </w:rPr>
              <m:t>t</m:t>
            </m:r>
          </m:sub>
        </m:sSub>
      </m:oMath>
      <w:r w:rsidRPr="00776E68">
        <w:t xml:space="preserve"> is the increment between measured time instants, </w:t>
      </w:r>
      <m:oMath>
        <m:sSub>
          <m:sSubPr>
            <m:ctrlPr>
              <w:rPr>
                <w:rFonts w:ascii="Cambria Math" w:hAnsi="Cambria Math"/>
                <w:i/>
              </w:rPr>
            </m:ctrlPr>
          </m:sSubPr>
          <m:e>
            <m:r>
              <w:rPr>
                <w:rFonts w:ascii="Cambria Math" w:hAnsi="Cambria Math"/>
              </w:rPr>
              <m:t>L</m:t>
            </m:r>
          </m:e>
          <m:sub>
            <m:r>
              <m:rPr>
                <m:sty m:val="p"/>
              </m:rPr>
              <w:rPr>
                <w:rFonts w:ascii="Cambria Math" w:hAnsi="Cambria Math"/>
              </w:rPr>
              <m:t>CTIA</m:t>
            </m:r>
          </m:sub>
        </m:sSub>
      </m:oMath>
      <w:r w:rsidRPr="00776E68">
        <w:rPr>
          <w:rFonts w:eastAsiaTheme="minorEastAsia"/>
        </w:rPr>
        <w:t xml:space="preserve"> is the </w:t>
      </w:r>
      <w:r w:rsidRPr="00776E68">
        <w:t xml:space="preserve">path loss in CTIA dynamic model, and </w:t>
      </w:r>
      <m:oMath>
        <m:sSub>
          <m:sSubPr>
            <m:ctrlPr>
              <w:rPr>
                <w:rFonts w:ascii="Cambria Math" w:hAnsi="Cambria Math"/>
                <w:i/>
              </w:rPr>
            </m:ctrlPr>
          </m:sSubPr>
          <m:e>
            <m:r>
              <w:rPr>
                <w:rFonts w:ascii="Cambria Math" w:hAnsi="Cambria Math"/>
              </w:rPr>
              <m:t>L</m:t>
            </m:r>
          </m:e>
          <m:sub>
            <m:r>
              <m:rPr>
                <m:sty m:val="p"/>
              </m:rPr>
              <w:rPr>
                <w:rFonts w:ascii="Cambria Math" w:hAnsi="Cambria Math"/>
              </w:rPr>
              <m:t>3GPP</m:t>
            </m:r>
          </m:sub>
        </m:sSub>
      </m:oMath>
      <w:r w:rsidRPr="00776E68">
        <w:rPr>
          <w:rFonts w:eastAsiaTheme="minorEastAsia"/>
        </w:rPr>
        <w:t xml:space="preserve"> is that of the</w:t>
      </w:r>
      <w:r w:rsidRPr="00776E68">
        <w:t xml:space="preserve"> 3GPP dynamic model.</w:t>
      </w:r>
    </w:p>
    <w:p w14:paraId="49F5D81F" w14:textId="53245965" w:rsidR="007E7EF9" w:rsidRDefault="007222EB" w:rsidP="007E7EF9">
      <w:r>
        <w:t>T</w:t>
      </w:r>
      <w:r w:rsidR="007E7EF9">
        <w:t xml:space="preserve">he spatial correlation is the path loss weighted average of instantaneous spatial correlations as observed by antennas with </w:t>
      </w:r>
      <m:oMath>
        <m:r>
          <m:rPr>
            <m:sty m:val="p"/>
          </m:rPr>
          <w:rPr>
            <w:rFonts w:ascii="Cambria Math" w:hAnsi="Cambria Math"/>
          </w:rPr>
          <m:t>Δ</m:t>
        </m:r>
        <m:r>
          <w:rPr>
            <w:rFonts w:ascii="Cambria Math" w:hAnsi="Cambria Math"/>
          </w:rPr>
          <m:t>x</m:t>
        </m:r>
      </m:oMath>
      <w:r w:rsidR="007E7EF9">
        <w:rPr>
          <w:rFonts w:eastAsiaTheme="minorEastAsia"/>
        </w:rPr>
        <w:t xml:space="preserve"> spacing</w:t>
      </w:r>
      <w:r w:rsidR="007E7EF9">
        <w:t>. Since path losses are different the resulting average spatial correlation will be different as well, as can be seen from the equations above.</w:t>
      </w:r>
    </w:p>
    <w:p w14:paraId="7771063C" w14:textId="63DFBB06" w:rsidR="007E7EF9" w:rsidRDefault="00785184" w:rsidP="007E7EF9">
      <w:r>
        <w:t xml:space="preserve">We could also </w:t>
      </w:r>
      <w:r w:rsidR="007E7EF9">
        <w:t xml:space="preserve">take another example </w:t>
      </w:r>
      <w:r>
        <w:t>of</w:t>
      </w:r>
      <w:r w:rsidR="007E7EF9">
        <w:t xml:space="preserve"> PDP in the case of channel segments with time variant PDP</w:t>
      </w:r>
      <w:r w:rsidR="00F903F6">
        <w:t xml:space="preserve">, </w:t>
      </w:r>
      <w:r w:rsidR="007E7EF9">
        <w:t>e.g.</w:t>
      </w:r>
      <w:r w:rsidR="00F903F6">
        <w:t>,</w:t>
      </w:r>
      <w:r w:rsidR="007E7EF9">
        <w:t xml:space="preserve"> segment 8. In these segments</w:t>
      </w:r>
      <w:r w:rsidR="00F903F6">
        <w:t>,</w:t>
      </w:r>
      <w:r w:rsidR="007E7EF9">
        <w:t xml:space="preserve"> the PDP is validated per cluster index not per delay bin</w:t>
      </w:r>
      <w:r w:rsidR="00174849">
        <w:t>, i.e., the</w:t>
      </w:r>
      <w:r w:rsidR="007E7EF9">
        <w:t xml:space="preserve"> power difference between</w:t>
      </w:r>
      <w:r w:rsidR="00174849">
        <w:t xml:space="preserve"> </w:t>
      </w:r>
      <w:r w:rsidR="007E7EF9">
        <w:t>two cluster indices, say the first and the second cluster</w:t>
      </w:r>
      <w:r w:rsidR="00606A32">
        <w:t>, are</w:t>
      </w:r>
    </w:p>
    <w:p w14:paraId="460917FE" w14:textId="77777777" w:rsidR="007E7EF9" w:rsidRDefault="00C13067" w:rsidP="007E7EF9">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1</m:t>
              </m:r>
            </m:sub>
          </m:sSub>
          <m:r>
            <w:rPr>
              <w:rFonts w:ascii="Cambria Math" w:eastAsiaTheme="minorEastAsia"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M</m:t>
                  </m:r>
                </m:e>
                <m:sub>
                  <m:r>
                    <w:rPr>
                      <w:rFonts w:ascii="Cambria Math" w:hAnsi="Cambria Math"/>
                    </w:rPr>
                    <m:t>S</m:t>
                  </m:r>
                </m:sub>
              </m:sSub>
            </m:den>
          </m:f>
          <m:nary>
            <m:naryPr>
              <m:chr m:val="∑"/>
              <m:limLoc m:val="undOvr"/>
              <m:ctrlPr>
                <w:rPr>
                  <w:rFonts w:ascii="Cambria Math" w:hAnsi="Cambria Math"/>
                  <w:i/>
                </w:rPr>
              </m:ctrlPr>
            </m:naryPr>
            <m:sub>
              <m:r>
                <w:rPr>
                  <w:rFonts w:ascii="Cambria Math" w:hAnsi="Cambria Math"/>
                </w:rPr>
                <m:t>m=0</m:t>
              </m:r>
            </m:sub>
            <m:sup>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-1</m:t>
              </m:r>
            </m:sup>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i/>
                            </w:rPr>
                          </m:ctrlPr>
                        </m:sSubPr>
                        <m:e>
                          <m:r>
                            <m:rPr>
                              <m:sty m:val="p"/>
                            </m:rPr>
                            <w:rPr>
                              <w:rFonts w:ascii="Cambria Math" w:hAnsi="Cambria Math"/>
                            </w:rPr>
                            <m:t>Δ</m:t>
                          </m:r>
                        </m:e>
                        <m:sub>
                          <m:r>
                            <w:rPr>
                              <w:rFonts w:ascii="Cambria Math" w:hAnsi="Cambria Math"/>
                            </w:rPr>
                            <m:t>t</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i/>
                            </w:rPr>
                          </m:ctrlPr>
                        </m:sSubPr>
                        <m:e>
                          <m:r>
                            <m:rPr>
                              <m:sty m:val="p"/>
                            </m:rPr>
                            <w:rPr>
                              <w:rFonts w:ascii="Cambria Math" w:hAnsi="Cambria Math"/>
                            </w:rPr>
                            <m:t>Δ</m:t>
                          </m:r>
                        </m:e>
                        <m:sub>
                          <m:r>
                            <w:rPr>
                              <w:rFonts w:ascii="Cambria Math" w:hAnsi="Cambria Math"/>
                            </w:rPr>
                            <m:t>t</m:t>
                          </m:r>
                        </m:sub>
                      </m:sSub>
                    </m:e>
                  </m:d>
                </m:num>
                <m:den>
                  <m:sSub>
                    <m:sSubPr>
                      <m:ctrlPr>
                        <w:rPr>
                          <w:rFonts w:ascii="Cambria Math" w:hAnsi="Cambria Math"/>
                          <w:i/>
                          <w:color w:val="C00000"/>
                        </w:rPr>
                      </m:ctrlPr>
                    </m:sSubPr>
                    <m:e>
                      <m:r>
                        <w:rPr>
                          <w:rFonts w:ascii="Cambria Math" w:hAnsi="Cambria Math"/>
                          <w:color w:val="C00000"/>
                        </w:rPr>
                        <m:t>L</m:t>
                      </m:r>
                    </m:e>
                    <m:sub>
                      <m:r>
                        <m:rPr>
                          <m:sty m:val="p"/>
                        </m:rPr>
                        <w:rPr>
                          <w:rFonts w:ascii="Cambria Math" w:hAnsi="Cambria Math"/>
                          <w:color w:val="C00000"/>
                        </w:rPr>
                        <m:t>CTIA</m:t>
                      </m:r>
                    </m:sub>
                  </m:sSub>
                  <m:d>
                    <m:dPr>
                      <m:ctrlPr>
                        <w:rPr>
                          <w:rFonts w:ascii="Cambria Math" w:hAnsi="Cambria Math"/>
                          <w:i/>
                          <w:color w:val="C00000"/>
                        </w:rPr>
                      </m:ctrlPr>
                    </m:dPr>
                    <m:e>
                      <m:sSub>
                        <m:sSubPr>
                          <m:ctrlPr>
                            <w:rPr>
                              <w:rFonts w:ascii="Cambria Math" w:hAnsi="Cambria Math"/>
                              <w:i/>
                              <w:color w:val="C00000"/>
                            </w:rPr>
                          </m:ctrlPr>
                        </m:sSubPr>
                        <m:e>
                          <m:r>
                            <w:rPr>
                              <w:rFonts w:ascii="Cambria Math" w:hAnsi="Cambria Math"/>
                              <w:color w:val="C00000"/>
                            </w:rPr>
                            <m:t>t</m:t>
                          </m:r>
                        </m:e>
                        <m:sub>
                          <m:r>
                            <w:rPr>
                              <w:rFonts w:ascii="Cambria Math" w:hAnsi="Cambria Math"/>
                              <w:color w:val="C00000"/>
                            </w:rPr>
                            <m:t>s,0</m:t>
                          </m:r>
                        </m:sub>
                      </m:sSub>
                      <m:r>
                        <w:rPr>
                          <w:rFonts w:ascii="Cambria Math" w:hAnsi="Cambria Math"/>
                          <w:color w:val="C00000"/>
                        </w:rPr>
                        <m:t xml:space="preserve">+m </m:t>
                      </m:r>
                      <m:sSub>
                        <m:sSubPr>
                          <m:ctrlPr>
                            <w:rPr>
                              <w:rFonts w:ascii="Cambria Math" w:hAnsi="Cambria Math"/>
                              <w:i/>
                              <w:color w:val="C00000"/>
                            </w:rPr>
                          </m:ctrlPr>
                        </m:sSubPr>
                        <m:e>
                          <m:r>
                            <m:rPr>
                              <m:sty m:val="p"/>
                            </m:rPr>
                            <w:rPr>
                              <w:rFonts w:ascii="Cambria Math" w:hAnsi="Cambria Math"/>
                              <w:color w:val="C00000"/>
                            </w:rPr>
                            <m:t>Δ</m:t>
                          </m:r>
                        </m:e>
                        <m:sub>
                          <m:r>
                            <w:rPr>
                              <w:rFonts w:ascii="Cambria Math" w:hAnsi="Cambria Math"/>
                              <w:color w:val="C00000"/>
                            </w:rPr>
                            <m:t>t</m:t>
                          </m:r>
                        </m:sub>
                      </m:sSub>
                    </m:e>
                  </m:d>
                </m:den>
              </m:f>
            </m:e>
          </m:nary>
        </m:oMath>
      </m:oMathPara>
    </w:p>
    <w:p w14:paraId="65EA5033" w14:textId="77777777" w:rsidR="007E7EF9" w:rsidRPr="00F13865" w:rsidRDefault="00C13067" w:rsidP="007E7EF9">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1</m:t>
              </m:r>
            </m:sub>
          </m:sSub>
          <m:r>
            <w:rPr>
              <w:rFonts w:ascii="Cambria Math" w:eastAsiaTheme="minorEastAsia"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M</m:t>
                  </m:r>
                </m:e>
                <m:sub>
                  <m:r>
                    <w:rPr>
                      <w:rFonts w:ascii="Cambria Math" w:hAnsi="Cambria Math"/>
                    </w:rPr>
                    <m:t>S</m:t>
                  </m:r>
                </m:sub>
              </m:sSub>
            </m:den>
          </m:f>
          <m:nary>
            <m:naryPr>
              <m:chr m:val="∑"/>
              <m:limLoc m:val="undOvr"/>
              <m:ctrlPr>
                <w:rPr>
                  <w:rFonts w:ascii="Cambria Math" w:hAnsi="Cambria Math"/>
                  <w:i/>
                </w:rPr>
              </m:ctrlPr>
            </m:naryPr>
            <m:sub>
              <m:r>
                <w:rPr>
                  <w:rFonts w:ascii="Cambria Math" w:hAnsi="Cambria Math"/>
                </w:rPr>
                <m:t>m=0</m:t>
              </m:r>
            </m:sub>
            <m:sup>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-1</m:t>
              </m:r>
            </m:sup>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i/>
                            </w:rPr>
                          </m:ctrlPr>
                        </m:sSubPr>
                        <m:e>
                          <m:r>
                            <m:rPr>
                              <m:sty m:val="p"/>
                            </m:rPr>
                            <w:rPr>
                              <w:rFonts w:ascii="Cambria Math" w:hAnsi="Cambria Math"/>
                            </w:rPr>
                            <m:t>Δ</m:t>
                          </m:r>
                        </m:e>
                        <m:sub>
                          <m:r>
                            <w:rPr>
                              <w:rFonts w:ascii="Cambria Math" w:hAnsi="Cambria Math"/>
                            </w:rPr>
                            <m:t>t</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i/>
                            </w:rPr>
                          </m:ctrlPr>
                        </m:sSubPr>
                        <m:e>
                          <m:r>
                            <m:rPr>
                              <m:sty m:val="p"/>
                            </m:rPr>
                            <w:rPr>
                              <w:rFonts w:ascii="Cambria Math" w:hAnsi="Cambria Math"/>
                            </w:rPr>
                            <m:t>Δ</m:t>
                          </m:r>
                        </m:e>
                        <m:sub>
                          <m:r>
                            <w:rPr>
                              <w:rFonts w:ascii="Cambria Math" w:hAnsi="Cambria Math"/>
                            </w:rPr>
                            <m:t>t</m:t>
                          </m:r>
                        </m:sub>
                      </m:sSub>
                    </m:e>
                  </m:d>
                </m:num>
                <m:den>
                  <m:sSub>
                    <m:sSubPr>
                      <m:ctrlPr>
                        <w:rPr>
                          <w:rFonts w:ascii="Cambria Math" w:hAnsi="Cambria Math"/>
                          <w:i/>
                          <w:color w:val="0070C0"/>
                        </w:rPr>
                      </m:ctrlPr>
                    </m:sSubPr>
                    <m:e>
                      <m:r>
                        <w:rPr>
                          <w:rFonts w:ascii="Cambria Math" w:hAnsi="Cambria Math"/>
                          <w:color w:val="0070C0"/>
                        </w:rPr>
                        <m:t>L</m:t>
                      </m:r>
                    </m:e>
                    <m:sub>
                      <m:r>
                        <m:rPr>
                          <m:sty m:val="p"/>
                        </m:rPr>
                        <w:rPr>
                          <w:rFonts w:ascii="Cambria Math" w:hAnsi="Cambria Math"/>
                          <w:color w:val="0070C0"/>
                        </w:rPr>
                        <m:t>3GPP</m:t>
                      </m:r>
                    </m:sub>
                  </m:sSub>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s,0</m:t>
                          </m:r>
                        </m:sub>
                      </m:sSub>
                      <m:r>
                        <w:rPr>
                          <w:rFonts w:ascii="Cambria Math" w:hAnsi="Cambria Math"/>
                          <w:color w:val="0070C0"/>
                        </w:rPr>
                        <m:t xml:space="preserve">+m </m:t>
                      </m:r>
                      <m:sSub>
                        <m:sSubPr>
                          <m:ctrlPr>
                            <w:rPr>
                              <w:rFonts w:ascii="Cambria Math" w:hAnsi="Cambria Math"/>
                              <w:i/>
                              <w:color w:val="0070C0"/>
                            </w:rPr>
                          </m:ctrlPr>
                        </m:sSubPr>
                        <m:e>
                          <m:r>
                            <m:rPr>
                              <m:sty m:val="p"/>
                            </m:rPr>
                            <w:rPr>
                              <w:rFonts w:ascii="Cambria Math" w:hAnsi="Cambria Math"/>
                              <w:color w:val="0070C0"/>
                            </w:rPr>
                            <m:t>Δ</m:t>
                          </m:r>
                        </m:e>
                        <m:sub>
                          <m:r>
                            <w:rPr>
                              <w:rFonts w:ascii="Cambria Math" w:hAnsi="Cambria Math"/>
                              <w:color w:val="0070C0"/>
                            </w:rPr>
                            <m:t>t</m:t>
                          </m:r>
                        </m:sub>
                      </m:sSub>
                    </m:e>
                  </m:d>
                </m:den>
              </m:f>
            </m:e>
          </m:nary>
          <m:r>
            <w:rPr>
              <w:rFonts w:ascii="Cambria Math" w:eastAsiaTheme="minorEastAsia" w:hAnsi="Cambria Math"/>
            </w:rPr>
            <m:t>,</m:t>
          </m:r>
        </m:oMath>
      </m:oMathPara>
    </w:p>
    <w:p w14:paraId="7291444B" w14:textId="2E5BB842" w:rsidR="007E7EF9" w:rsidRDefault="007E7EF9" w:rsidP="007E7EF9">
      <w:r>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1</m:t>
            </m:r>
          </m:sub>
        </m:sSub>
      </m:oMath>
      <w:r>
        <w:rPr>
          <w:rFonts w:eastAsiaTheme="minorEastAsia"/>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2</m:t>
            </m:r>
          </m:sub>
        </m:sSub>
      </m:oMath>
      <w:r>
        <w:rPr>
          <w:rFonts w:eastAsiaTheme="minorEastAsia"/>
        </w:rPr>
        <w:t xml:space="preserve"> is the average power along the segment of cluster 1 and 2, respectively. From the equations we can observe that the path loss term cannot be remove</w:t>
      </w:r>
      <w:r w:rsidR="00606A32">
        <w:rPr>
          <w:rFonts w:eastAsiaTheme="minorEastAsia"/>
        </w:rPr>
        <w:t>d</w:t>
      </w:r>
      <w:r>
        <w:rPr>
          <w:rFonts w:eastAsiaTheme="minorEastAsia"/>
        </w:rPr>
        <w:t xml:space="preserve"> or equalized from the sum. Hence, the path loss</w:t>
      </w:r>
      <w:r w:rsidR="000D4EC9">
        <w:rPr>
          <w:rFonts w:eastAsiaTheme="minorEastAsia"/>
        </w:rPr>
        <w:t xml:space="preserve"> model</w:t>
      </w:r>
      <w:r>
        <w:rPr>
          <w:rFonts w:eastAsiaTheme="minorEastAsia"/>
        </w:rPr>
        <w:t xml:space="preserve"> has </w:t>
      </w:r>
      <w:r w:rsidR="000D4EC9">
        <w:rPr>
          <w:rFonts w:eastAsiaTheme="minorEastAsia"/>
        </w:rPr>
        <w:t xml:space="preserve">a direct </w:t>
      </w:r>
      <w:r>
        <w:rPr>
          <w:rFonts w:eastAsiaTheme="minorEastAsia"/>
        </w:rPr>
        <w:t>impact on the PDP validation</w:t>
      </w:r>
      <w:r w:rsidR="00E20857">
        <w:rPr>
          <w:rFonts w:eastAsiaTheme="minorEastAsia"/>
        </w:rPr>
        <w:t xml:space="preserve">. </w:t>
      </w:r>
    </w:p>
    <w:p w14:paraId="53FB1E5B" w14:textId="60380EF5" w:rsidR="00453665" w:rsidRDefault="00453665" w:rsidP="00453665">
      <w:r>
        <w:t xml:space="preserve">Keysight </w:t>
      </w:r>
      <w:r w:rsidR="000D4EC9">
        <w:t xml:space="preserve">was asked </w:t>
      </w:r>
      <w:r>
        <w:t xml:space="preserve">to provide detailed justification in RAN4#114 whether the path loss models can be adjusted to yield the same CM validation targets, which SDO would have to </w:t>
      </w:r>
      <w:proofErr w:type="gramStart"/>
      <w:r>
        <w:t>make adjustments</w:t>
      </w:r>
      <w:proofErr w:type="gramEnd"/>
      <w:r>
        <w:t xml:space="preserve">, and what the technical justifications are for not making any adjustments before any subsequent TPs can be approved. Using commercial and fragmentation arguments (especially considering CTIA and 3GPP are already fragmented given the differences in environmental conditions) was very unfortunate as it is hindering progress unnecessarily. </w:t>
      </w:r>
    </w:p>
    <w:p w14:paraId="63C862D2" w14:textId="77777777" w:rsidR="00453665" w:rsidRDefault="00453665" w:rsidP="00453665">
      <w:r>
        <w:t>Below are some comments to specific concerns raised</w:t>
      </w:r>
    </w:p>
    <w:p w14:paraId="1984035C" w14:textId="77777777" w:rsidR="00453665" w:rsidRPr="00EA5025" w:rsidRDefault="00453665" w:rsidP="002A5BD8">
      <w:pPr>
        <w:pStyle w:val="Heading3"/>
      </w:pPr>
      <w:r>
        <w:t>On equalizing channel models in 3GPP and CTIA</w:t>
      </w:r>
      <w:r w:rsidRPr="00EA5025">
        <w:t xml:space="preserve"> </w:t>
      </w:r>
    </w:p>
    <w:p w14:paraId="78819791" w14:textId="362BA0BD" w:rsidR="00453665" w:rsidRDefault="00453665" w:rsidP="00453665">
      <w:r w:rsidRPr="00F77606">
        <w:t xml:space="preserve">Small scale parameters along the dynamic route are identical in CTIA and 3GPP. For example, path arrival angles at certain channel segments are exactly same. However, due to different path loss patterns along the dynamic route, the average path powers become non-identical. Consequently, the spatial correlation functions become different. This is especially </w:t>
      </w:r>
      <w:r>
        <w:t>noticeable</w:t>
      </w:r>
      <w:r w:rsidRPr="00F77606">
        <w:t xml:space="preserve"> in channel segments where the difference in PL patterns i</w:t>
      </w:r>
      <w:r>
        <w:t>s</w:t>
      </w:r>
      <w:r w:rsidRPr="00F77606">
        <w:t xml:space="preserve"> highest. This effect cannot be equalized or compensated in validation of measurements without modifying the model specification</w:t>
      </w:r>
      <w:r>
        <w:t xml:space="preserve"> and without customizing path loss models while keeping traceability to </w:t>
      </w:r>
      <w:r>
        <w:fldChar w:fldCharType="begin"/>
      </w:r>
      <w:r>
        <w:instrText xml:space="preserve"> REF _Ref183526636 \w </w:instrText>
      </w:r>
      <w:r>
        <w:fldChar w:fldCharType="separate"/>
      </w:r>
      <w:r w:rsidR="00A27D7F">
        <w:t>[10]</w:t>
      </w:r>
      <w:r>
        <w:fldChar w:fldCharType="end"/>
      </w:r>
      <w:r>
        <w:t xml:space="preserve"> which is critical as all channel model testing aspects are referencing  </w:t>
      </w:r>
      <w:r>
        <w:fldChar w:fldCharType="begin"/>
      </w:r>
      <w:r>
        <w:instrText xml:space="preserve"> REF _Ref183526636 \w </w:instrText>
      </w:r>
      <w:r>
        <w:fldChar w:fldCharType="separate"/>
      </w:r>
      <w:r w:rsidR="00A27D7F">
        <w:t>[10]</w:t>
      </w:r>
      <w:r>
        <w:fldChar w:fldCharType="end"/>
      </w:r>
      <w:r>
        <w:t xml:space="preserve">. </w:t>
      </w:r>
    </w:p>
    <w:p w14:paraId="1EA089E4" w14:textId="77777777" w:rsidR="00453665" w:rsidRPr="00EA5025" w:rsidRDefault="00453665" w:rsidP="002A5BD8">
      <w:pPr>
        <w:pStyle w:val="Heading3"/>
      </w:pPr>
      <w:r>
        <w:t xml:space="preserve">Which SDO to require adjustments </w:t>
      </w:r>
      <w:proofErr w:type="gramStart"/>
      <w:r>
        <w:t>in order to</w:t>
      </w:r>
      <w:proofErr w:type="gramEnd"/>
      <w:r>
        <w:t xml:space="preserve"> equalize channel models</w:t>
      </w:r>
    </w:p>
    <w:p w14:paraId="0FD6BF2E" w14:textId="104954D5" w:rsidR="00453665" w:rsidRPr="00D037B2" w:rsidRDefault="00BD099D" w:rsidP="00453665">
      <w:r>
        <w:t>T</w:t>
      </w:r>
      <w:r w:rsidR="00453665" w:rsidRPr="00D037B2">
        <w:t xml:space="preserve">he path loss model </w:t>
      </w:r>
      <w:r w:rsidR="005245CB">
        <w:t xml:space="preserve">for 3GPP’s UE-noise limited environment </w:t>
      </w:r>
      <w:r w:rsidR="00453665" w:rsidRPr="00D037B2">
        <w:t xml:space="preserve">is </w:t>
      </w:r>
      <w:proofErr w:type="spellStart"/>
      <w:r w:rsidR="00453665" w:rsidRPr="00D037B2">
        <w:t>is</w:t>
      </w:r>
      <w:proofErr w:type="spellEnd"/>
      <w:r w:rsidR="00453665" w:rsidRPr="00D037B2">
        <w:t xml:space="preserve"> based on the full path loss model defined in [10] while the path loss model in CTIA </w:t>
      </w:r>
      <w:r w:rsidR="00453665">
        <w:t>is “just”</w:t>
      </w:r>
      <w:r w:rsidR="00453665" w:rsidRPr="00D037B2">
        <w:t xml:space="preserve"> based on the </w:t>
      </w:r>
      <w:proofErr w:type="spellStart"/>
      <w:r w:rsidR="00453665" w:rsidRPr="00D037B2">
        <w:t>Ricean</w:t>
      </w:r>
      <w:proofErr w:type="spellEnd"/>
      <w:r w:rsidR="00453665" w:rsidRPr="00D037B2">
        <w:t xml:space="preserve"> K-factor from [10].</w:t>
      </w:r>
      <w:r w:rsidR="00453665">
        <w:t xml:space="preserve"> </w:t>
      </w:r>
      <w:r w:rsidR="002D5338">
        <w:t xml:space="preserve">Therefore, it would only make </w:t>
      </w:r>
      <w:r w:rsidR="002D5338">
        <w:lastRenderedPageBreak/>
        <w:t xml:space="preserve">sense to adjust the path loss models in CTIA if equalization of channel model validations limits is </w:t>
      </w:r>
      <w:proofErr w:type="gramStart"/>
      <w:r w:rsidR="002D5338">
        <w:t>absolutely necessary</w:t>
      </w:r>
      <w:proofErr w:type="gramEnd"/>
      <w:r w:rsidR="002D5338">
        <w:t xml:space="preserve">. </w:t>
      </w:r>
      <w:r w:rsidR="00453665" w:rsidRPr="00416D2E">
        <w:t>If we appl</w:t>
      </w:r>
      <w:r w:rsidR="00AA4BF3">
        <w:t>ied</w:t>
      </w:r>
      <w:r w:rsidR="00453665" w:rsidRPr="00416D2E">
        <w:t xml:space="preserve"> the full PL Model from 3GPP to CTIA, </w:t>
      </w:r>
      <w:r w:rsidR="00453665">
        <w:t>various segments would require a dynamic range</w:t>
      </w:r>
      <w:r w:rsidR="00453665" w:rsidRPr="00416D2E">
        <w:t xml:space="preserve"> </w:t>
      </w:r>
      <w:r w:rsidR="00453665">
        <w:t xml:space="preserve">in the MPAC OTA system that is currently not supported and feasible. </w:t>
      </w:r>
      <w:r w:rsidR="00C24015">
        <w:t>S</w:t>
      </w:r>
      <w:r w:rsidR="00453665" w:rsidRPr="00C836AC">
        <w:t>ynthesizing the CTIA model to yield the same targets as 3GPP would require additional time/efforts and further delay the CTIA test plan</w:t>
      </w:r>
      <w:r w:rsidR="00453665">
        <w:t>; t</w:t>
      </w:r>
      <w:r w:rsidR="00453665" w:rsidRPr="00404C32">
        <w:t>he non-linear SIR profile (due to interpolation of SIR) could complicate the equalization even more</w:t>
      </w:r>
      <w:r w:rsidR="00453665">
        <w:t xml:space="preserve">. </w:t>
      </w:r>
    </w:p>
    <w:p w14:paraId="3C7108E6" w14:textId="77777777" w:rsidR="00453665" w:rsidRPr="00EA5025" w:rsidRDefault="00453665" w:rsidP="002A5BD8">
      <w:pPr>
        <w:pStyle w:val="Heading3"/>
      </w:pPr>
      <w:r>
        <w:t xml:space="preserve">On test time impact of performing separate channel model verification testing in CTIA vs 3GPP </w:t>
      </w:r>
    </w:p>
    <w:p w14:paraId="576F3A71" w14:textId="670532E9" w:rsidR="00453665" w:rsidRDefault="00453665" w:rsidP="00453665">
      <w:pPr>
        <w:spacing w:after="0"/>
      </w:pPr>
      <w:r>
        <w:t xml:space="preserve">Just the test time for channel model validation tests should take less than </w:t>
      </w:r>
      <w:r w:rsidR="00BA656C">
        <w:t>3</w:t>
      </w:r>
      <w:r>
        <w:t xml:space="preserve"> hours per model and frequency in the best case. The following test times were extracted from</w:t>
      </w:r>
      <w:r w:rsidR="00FC0E66">
        <w:t xml:space="preserve"> </w:t>
      </w:r>
      <w:r w:rsidR="00EB5525">
        <w:t>two</w:t>
      </w:r>
      <w:r w:rsidR="00FC0E66">
        <w:t xml:space="preserve"> </w:t>
      </w:r>
      <w:r w:rsidR="00B046DF">
        <w:t>UMa</w:t>
      </w:r>
      <w:r w:rsidR="00E358CD">
        <w:t xml:space="preserve"> CM validations</w:t>
      </w:r>
      <w:r w:rsidR="00FC0E66">
        <w:t xml:space="preserve"> campaign</w:t>
      </w:r>
      <w:r w:rsidR="00730B16">
        <w:t xml:space="preserve">s (one OTA and one conducted </w:t>
      </w:r>
      <w:r w:rsidR="00EE3B9D">
        <w:t>with attenuators that emulated an OTA environment in terms of path losses)</w:t>
      </w:r>
      <w:r w:rsidR="00FC0E66">
        <w:t xml:space="preserve"> based on</w:t>
      </w:r>
      <w:r>
        <w:t xml:space="preserve"> actual measurements with Keysight R&amp;D SW tools</w:t>
      </w:r>
      <w:r>
        <w:rPr>
          <w:rStyle w:val="FootnoteReference"/>
        </w:rPr>
        <w:footnoteReference w:id="2"/>
      </w:r>
    </w:p>
    <w:p w14:paraId="6121E78D" w14:textId="4F1DC644" w:rsidR="00453665" w:rsidRPr="00B56D65" w:rsidRDefault="00453665" w:rsidP="00453665">
      <w:pPr>
        <w:numPr>
          <w:ilvl w:val="0"/>
          <w:numId w:val="7"/>
        </w:numPr>
        <w:spacing w:after="0"/>
        <w:ind w:left="792"/>
      </w:pPr>
      <w:r w:rsidRPr="00B56D65">
        <w:t xml:space="preserve">PDP: </w:t>
      </w:r>
      <w:r w:rsidR="006630F6">
        <w:t>1.8</w:t>
      </w:r>
      <w:r w:rsidRPr="00B56D65">
        <w:t xml:space="preserve"> hours (frequency domain)</w:t>
      </w:r>
      <w:r w:rsidR="006630F6">
        <w:t xml:space="preserve"> for </w:t>
      </w:r>
      <w:r w:rsidR="003054FE" w:rsidRPr="003054FE">
        <w:t xml:space="preserve">the </w:t>
      </w:r>
      <w:r w:rsidR="00DE36BB">
        <w:t xml:space="preserve">5 </w:t>
      </w:r>
      <w:r w:rsidR="003054FE" w:rsidRPr="003054FE">
        <w:t xml:space="preserve">quasi-time invariant </w:t>
      </w:r>
      <w:r w:rsidR="00DE36BB">
        <w:t xml:space="preserve">UMa </w:t>
      </w:r>
      <w:r w:rsidR="003054FE" w:rsidRPr="003054FE">
        <w:t xml:space="preserve">segments </w:t>
      </w:r>
      <w:r w:rsidR="00DE36BB">
        <w:t xml:space="preserve">for which </w:t>
      </w:r>
      <w:r w:rsidR="003054FE" w:rsidRPr="003054FE">
        <w:t>pass/fail requirements</w:t>
      </w:r>
      <w:r w:rsidR="00DE36BB">
        <w:t xml:space="preserve"> are</w:t>
      </w:r>
      <w:r w:rsidR="003054FE" w:rsidRPr="003054FE">
        <w:t xml:space="preserve"> defined</w:t>
      </w:r>
      <w:r w:rsidR="00DE36BB">
        <w:t xml:space="preserve"> in CTIA</w:t>
      </w:r>
    </w:p>
    <w:p w14:paraId="6CBCF8A4" w14:textId="77777777" w:rsidR="00453665" w:rsidRPr="00B56D65" w:rsidRDefault="00453665" w:rsidP="00453665">
      <w:pPr>
        <w:numPr>
          <w:ilvl w:val="0"/>
          <w:numId w:val="7"/>
        </w:numPr>
        <w:spacing w:after="0"/>
        <w:ind w:left="792"/>
      </w:pPr>
      <w:r w:rsidRPr="00B56D65">
        <w:t>SCF: 11 mins (time domain)</w:t>
      </w:r>
    </w:p>
    <w:p w14:paraId="289BA56A" w14:textId="77777777" w:rsidR="00453665" w:rsidRPr="00B56D65" w:rsidRDefault="00453665" w:rsidP="00453665">
      <w:pPr>
        <w:numPr>
          <w:ilvl w:val="0"/>
          <w:numId w:val="7"/>
        </w:numPr>
        <w:spacing w:after="0"/>
        <w:ind w:left="792"/>
      </w:pPr>
      <w:r w:rsidRPr="00B56D65">
        <w:t>TCF: 3 mins (time domain)</w:t>
      </w:r>
    </w:p>
    <w:p w14:paraId="76259478" w14:textId="77777777" w:rsidR="00453665" w:rsidRDefault="00453665" w:rsidP="00453665">
      <w:pPr>
        <w:numPr>
          <w:ilvl w:val="0"/>
          <w:numId w:val="7"/>
        </w:numPr>
        <w:spacing w:after="0"/>
        <w:ind w:left="792"/>
      </w:pPr>
      <w:r w:rsidRPr="00B56D65">
        <w:t>SIR: 5 mins (time domain)</w:t>
      </w:r>
    </w:p>
    <w:p w14:paraId="1ABDABF1" w14:textId="77777777" w:rsidR="00453665" w:rsidRDefault="00453665" w:rsidP="00453665">
      <w:pPr>
        <w:numPr>
          <w:ilvl w:val="0"/>
          <w:numId w:val="7"/>
        </w:numPr>
        <w:spacing w:after="0"/>
        <w:ind w:left="792"/>
      </w:pPr>
      <w:r w:rsidRPr="00B56D65">
        <w:t>XPO: 5 mins (time domain)</w:t>
      </w:r>
      <w:r>
        <w:t xml:space="preserve"> </w:t>
      </w:r>
    </w:p>
    <w:p w14:paraId="797A0933" w14:textId="77777777" w:rsidR="00453665" w:rsidRPr="00776E68" w:rsidRDefault="00453665" w:rsidP="00453665">
      <w:r>
        <w:t xml:space="preserve">Therefore, performing validation tests separately for CTIA and 3GPP should be manageable especially since it was previously agreed to perform much more time-intensive FR2 QoQZ MU validations at slightly different frequencies between CTIA and 3GPP (~2 weeks for each test). </w:t>
      </w:r>
    </w:p>
    <w:p w14:paraId="59BFE2C3" w14:textId="77777777" w:rsidR="00453665" w:rsidRDefault="00453665" w:rsidP="00453665">
      <w:pPr>
        <w:rPr>
          <w:rFonts w:asciiTheme="majorHAnsi" w:eastAsiaTheme="majorEastAsia" w:hAnsiTheme="majorHAnsi" w:cstheme="majorBidi"/>
          <w:color w:val="365F91" w:themeColor="accent1" w:themeShade="BF"/>
          <w:sz w:val="32"/>
          <w:szCs w:val="32"/>
        </w:rPr>
      </w:pPr>
      <w:r>
        <w:br w:type="page"/>
      </w:r>
    </w:p>
    <w:p w14:paraId="316B28C9" w14:textId="77777777" w:rsidR="00453665" w:rsidRDefault="00453665" w:rsidP="00453665">
      <w:pPr>
        <w:pStyle w:val="Heading1"/>
      </w:pPr>
      <w:r>
        <w:lastRenderedPageBreak/>
        <w:t>Observations/Conclusions</w:t>
      </w:r>
    </w:p>
    <w:p w14:paraId="7708679B" w14:textId="4EE9CED1" w:rsidR="00453665" w:rsidRPr="00C13067" w:rsidRDefault="00453665" w:rsidP="00453665">
      <w:pPr>
        <w:pStyle w:val="Caption"/>
        <w:rPr>
          <w:i/>
          <w:iCs w:val="0"/>
        </w:rPr>
      </w:pPr>
      <w:r w:rsidRPr="00C13067">
        <w:rPr>
          <w:i/>
          <w:iCs w:val="0"/>
        </w:rPr>
        <w:t xml:space="preserve">Observation </w:t>
      </w:r>
      <w:r w:rsidRPr="00C13067">
        <w:rPr>
          <w:i/>
          <w:iCs w:val="0"/>
        </w:rPr>
        <w:fldChar w:fldCharType="begin"/>
      </w:r>
      <w:r w:rsidRPr="00C13067">
        <w:rPr>
          <w:i/>
          <w:iCs w:val="0"/>
        </w:rPr>
        <w:instrText xml:space="preserve"> SEQ Observation \* ARABIC </w:instrText>
      </w:r>
      <w:r w:rsidRPr="00C13067">
        <w:rPr>
          <w:i/>
          <w:iCs w:val="0"/>
        </w:rPr>
        <w:fldChar w:fldCharType="separate"/>
      </w:r>
      <w:r w:rsidR="00A27D7F" w:rsidRPr="00C13067">
        <w:rPr>
          <w:i/>
          <w:iCs w:val="0"/>
          <w:noProof/>
        </w:rPr>
        <w:t>1</w:t>
      </w:r>
      <w:r w:rsidRPr="00C13067">
        <w:rPr>
          <w:i/>
          <w:iCs w:val="0"/>
        </w:rPr>
        <w:fldChar w:fldCharType="end"/>
      </w:r>
      <w:r w:rsidRPr="00C13067">
        <w:rPr>
          <w:i/>
          <w:iCs w:val="0"/>
        </w:rPr>
        <w:t xml:space="preserve">: As outlined in various 3GPP and CTIA contributions, the path loss and channel models were optimized with traceability to 38.901 and dynamic range of commercial MPAC systems in mind. </w:t>
      </w:r>
    </w:p>
    <w:p w14:paraId="187B952E" w14:textId="472DA28C" w:rsidR="00453665" w:rsidRPr="00C13067" w:rsidRDefault="00453665" w:rsidP="00453665">
      <w:pPr>
        <w:pStyle w:val="Caption"/>
        <w:rPr>
          <w:i/>
          <w:iCs w:val="0"/>
        </w:rPr>
      </w:pPr>
      <w:r w:rsidRPr="00C13067">
        <w:rPr>
          <w:i/>
          <w:iCs w:val="0"/>
        </w:rPr>
        <w:t xml:space="preserve">Observation </w:t>
      </w:r>
      <w:r w:rsidRPr="00C13067">
        <w:rPr>
          <w:i/>
          <w:iCs w:val="0"/>
        </w:rPr>
        <w:fldChar w:fldCharType="begin"/>
      </w:r>
      <w:r w:rsidRPr="00C13067">
        <w:rPr>
          <w:i/>
          <w:iCs w:val="0"/>
        </w:rPr>
        <w:instrText xml:space="preserve"> SEQ Observation \* ARABIC </w:instrText>
      </w:r>
      <w:r w:rsidRPr="00C13067">
        <w:rPr>
          <w:i/>
          <w:iCs w:val="0"/>
        </w:rPr>
        <w:fldChar w:fldCharType="separate"/>
      </w:r>
      <w:r w:rsidR="00A27D7F" w:rsidRPr="00C13067">
        <w:rPr>
          <w:i/>
          <w:iCs w:val="0"/>
          <w:noProof/>
        </w:rPr>
        <w:t>2</w:t>
      </w:r>
      <w:r w:rsidRPr="00C13067">
        <w:rPr>
          <w:i/>
          <w:iCs w:val="0"/>
        </w:rPr>
        <w:fldChar w:fldCharType="end"/>
      </w:r>
      <w:r w:rsidRPr="00C13067">
        <w:rPr>
          <w:i/>
          <w:iCs w:val="0"/>
        </w:rPr>
        <w:t xml:space="preserve">: The channel model for the UE noise-limited environment takes the full path loss model </w:t>
      </w:r>
      <w:r w:rsidR="00B8189C" w:rsidRPr="00C13067">
        <w:rPr>
          <w:i/>
          <w:iCs w:val="0"/>
        </w:rPr>
        <w:t xml:space="preserve">from TR 38.901 </w:t>
      </w:r>
      <w:r w:rsidRPr="00C13067">
        <w:rPr>
          <w:i/>
          <w:iCs w:val="0"/>
        </w:rPr>
        <w:t xml:space="preserve">into account </w:t>
      </w:r>
    </w:p>
    <w:p w14:paraId="5816C087" w14:textId="393AECFD" w:rsidR="00453665" w:rsidRPr="00C13067" w:rsidRDefault="00453665" w:rsidP="00453665">
      <w:pPr>
        <w:pStyle w:val="Caption"/>
        <w:rPr>
          <w:i/>
          <w:iCs w:val="0"/>
        </w:rPr>
      </w:pPr>
      <w:r w:rsidRPr="00C13067">
        <w:rPr>
          <w:i/>
          <w:iCs w:val="0"/>
        </w:rPr>
        <w:t xml:space="preserve">Observation </w:t>
      </w:r>
      <w:r w:rsidRPr="00C13067">
        <w:rPr>
          <w:i/>
          <w:iCs w:val="0"/>
        </w:rPr>
        <w:fldChar w:fldCharType="begin"/>
      </w:r>
      <w:r w:rsidRPr="00C13067">
        <w:rPr>
          <w:i/>
          <w:iCs w:val="0"/>
        </w:rPr>
        <w:instrText xml:space="preserve"> SEQ Observation \* ARABIC </w:instrText>
      </w:r>
      <w:r w:rsidRPr="00C13067">
        <w:rPr>
          <w:i/>
          <w:iCs w:val="0"/>
        </w:rPr>
        <w:fldChar w:fldCharType="separate"/>
      </w:r>
      <w:r w:rsidR="00A27D7F" w:rsidRPr="00C13067">
        <w:rPr>
          <w:i/>
          <w:iCs w:val="0"/>
          <w:noProof/>
        </w:rPr>
        <w:t>3</w:t>
      </w:r>
      <w:r w:rsidRPr="00C13067">
        <w:rPr>
          <w:i/>
          <w:iCs w:val="0"/>
        </w:rPr>
        <w:fldChar w:fldCharType="end"/>
      </w:r>
      <w:r w:rsidRPr="00C13067">
        <w:rPr>
          <w:i/>
          <w:iCs w:val="0"/>
        </w:rPr>
        <w:t xml:space="preserve">: The channel model for the SIR-based environment </w:t>
      </w:r>
      <w:r w:rsidR="00F11F3B" w:rsidRPr="00C13067">
        <w:rPr>
          <w:i/>
          <w:iCs w:val="0"/>
        </w:rPr>
        <w:t xml:space="preserve">“just” </w:t>
      </w:r>
      <w:r w:rsidRPr="00C13067">
        <w:rPr>
          <w:i/>
          <w:iCs w:val="0"/>
        </w:rPr>
        <w:t xml:space="preserve">takes the </w:t>
      </w:r>
      <w:proofErr w:type="spellStart"/>
      <w:r w:rsidRPr="00C13067">
        <w:rPr>
          <w:i/>
          <w:iCs w:val="0"/>
        </w:rPr>
        <w:t>Ricean</w:t>
      </w:r>
      <w:proofErr w:type="spellEnd"/>
      <w:r w:rsidRPr="00C13067">
        <w:rPr>
          <w:i/>
          <w:iCs w:val="0"/>
        </w:rPr>
        <w:t xml:space="preserve"> K-factor from TR</w:t>
      </w:r>
      <w:r w:rsidR="00051F89" w:rsidRPr="00C13067">
        <w:rPr>
          <w:i/>
          <w:iCs w:val="0"/>
        </w:rPr>
        <w:t xml:space="preserve"> </w:t>
      </w:r>
      <w:r w:rsidRPr="00C13067">
        <w:rPr>
          <w:i/>
          <w:iCs w:val="0"/>
        </w:rPr>
        <w:t xml:space="preserve">38.901 into account but yields traceability to the most important channel </w:t>
      </w:r>
      <w:proofErr w:type="spellStart"/>
      <w:r w:rsidRPr="00C13067">
        <w:rPr>
          <w:i/>
          <w:iCs w:val="0"/>
        </w:rPr>
        <w:t>modeling</w:t>
      </w:r>
      <w:proofErr w:type="spellEnd"/>
      <w:r w:rsidRPr="00C13067">
        <w:rPr>
          <w:i/>
          <w:iCs w:val="0"/>
        </w:rPr>
        <w:t xml:space="preserve"> reference and yields a dynamic range supported by commercial MPAC OTA systems</w:t>
      </w:r>
    </w:p>
    <w:p w14:paraId="7BE4EB6F" w14:textId="07F096AB" w:rsidR="00453665" w:rsidRPr="00C13067" w:rsidRDefault="00453665" w:rsidP="00453665">
      <w:pPr>
        <w:pStyle w:val="Caption"/>
        <w:rPr>
          <w:i/>
          <w:iCs w:val="0"/>
        </w:rPr>
      </w:pPr>
      <w:r w:rsidRPr="00C13067">
        <w:rPr>
          <w:i/>
          <w:iCs w:val="0"/>
        </w:rPr>
        <w:t xml:space="preserve">Observation </w:t>
      </w:r>
      <w:r w:rsidRPr="00C13067">
        <w:rPr>
          <w:i/>
          <w:iCs w:val="0"/>
        </w:rPr>
        <w:fldChar w:fldCharType="begin"/>
      </w:r>
      <w:r w:rsidRPr="00C13067">
        <w:rPr>
          <w:i/>
          <w:iCs w:val="0"/>
        </w:rPr>
        <w:instrText xml:space="preserve"> SEQ Observation \* ARABIC </w:instrText>
      </w:r>
      <w:r w:rsidRPr="00C13067">
        <w:rPr>
          <w:i/>
          <w:iCs w:val="0"/>
        </w:rPr>
        <w:fldChar w:fldCharType="separate"/>
      </w:r>
      <w:r w:rsidR="00A27D7F" w:rsidRPr="00C13067">
        <w:rPr>
          <w:i/>
          <w:iCs w:val="0"/>
          <w:noProof/>
        </w:rPr>
        <w:t>4</w:t>
      </w:r>
      <w:r w:rsidRPr="00C13067">
        <w:rPr>
          <w:i/>
          <w:iCs w:val="0"/>
        </w:rPr>
        <w:fldChar w:fldCharType="end"/>
      </w:r>
      <w:r w:rsidRPr="00C13067">
        <w:rPr>
          <w:i/>
          <w:iCs w:val="0"/>
        </w:rPr>
        <w:t>: Differences in path loss model assumptions yield differences in channel model validation targets especially in channel segments where the difference in PL patterns is highest</w:t>
      </w:r>
    </w:p>
    <w:p w14:paraId="1828ECD9" w14:textId="05EA05C5" w:rsidR="00453665" w:rsidRPr="00C13067" w:rsidRDefault="00453665" w:rsidP="00453665">
      <w:pPr>
        <w:pStyle w:val="Caption"/>
        <w:rPr>
          <w:i/>
          <w:iCs w:val="0"/>
        </w:rPr>
      </w:pPr>
      <w:r w:rsidRPr="00C13067">
        <w:rPr>
          <w:i/>
          <w:iCs w:val="0"/>
        </w:rPr>
        <w:t xml:space="preserve">Observation </w:t>
      </w:r>
      <w:r w:rsidRPr="00C13067">
        <w:rPr>
          <w:i/>
          <w:iCs w:val="0"/>
        </w:rPr>
        <w:fldChar w:fldCharType="begin"/>
      </w:r>
      <w:r w:rsidRPr="00C13067">
        <w:rPr>
          <w:i/>
          <w:iCs w:val="0"/>
        </w:rPr>
        <w:instrText xml:space="preserve"> SEQ Observation \* ARABIC </w:instrText>
      </w:r>
      <w:r w:rsidRPr="00C13067">
        <w:rPr>
          <w:i/>
          <w:iCs w:val="0"/>
        </w:rPr>
        <w:fldChar w:fldCharType="separate"/>
      </w:r>
      <w:r w:rsidR="00A27D7F" w:rsidRPr="00C13067">
        <w:rPr>
          <w:i/>
          <w:iCs w:val="0"/>
          <w:noProof/>
        </w:rPr>
        <w:t>5</w:t>
      </w:r>
      <w:r w:rsidRPr="00C13067">
        <w:rPr>
          <w:i/>
          <w:iCs w:val="0"/>
        </w:rPr>
        <w:fldChar w:fldCharType="end"/>
      </w:r>
      <w:r w:rsidRPr="00C13067">
        <w:rPr>
          <w:i/>
          <w:iCs w:val="0"/>
        </w:rPr>
        <w:t xml:space="preserve">: </w:t>
      </w:r>
      <w:r w:rsidR="005F181B" w:rsidRPr="00C13067">
        <w:rPr>
          <w:i/>
          <w:iCs w:val="0"/>
        </w:rPr>
        <w:t>A</w:t>
      </w:r>
      <w:r w:rsidRPr="00C13067">
        <w:rPr>
          <w:i/>
          <w:iCs w:val="0"/>
        </w:rPr>
        <w:t xml:space="preserve"> TP in RAN4 to progress on FR1 MIMO OTA with dynamic channel models </w:t>
      </w:r>
      <w:r w:rsidR="00871BB8" w:rsidRPr="00C13067">
        <w:rPr>
          <w:i/>
          <w:iCs w:val="0"/>
        </w:rPr>
        <w:t xml:space="preserve">was objected to </w:t>
      </w:r>
      <w:r w:rsidRPr="00C13067">
        <w:rPr>
          <w:i/>
          <w:iCs w:val="0"/>
        </w:rPr>
        <w:t xml:space="preserve">for commercial and fragmentation reasons even though the difference in environmental conditions has already fragmented the test plans in 3GPP and CTIA. </w:t>
      </w:r>
    </w:p>
    <w:p w14:paraId="75130D7B" w14:textId="34465981" w:rsidR="00453665" w:rsidRPr="00C13067" w:rsidRDefault="00453665" w:rsidP="00453665">
      <w:pPr>
        <w:pStyle w:val="Caption"/>
        <w:rPr>
          <w:i/>
          <w:iCs w:val="0"/>
        </w:rPr>
      </w:pPr>
      <w:r w:rsidRPr="00C13067">
        <w:rPr>
          <w:i/>
          <w:iCs w:val="0"/>
        </w:rPr>
        <w:t xml:space="preserve">Observation </w:t>
      </w:r>
      <w:r w:rsidRPr="00C13067">
        <w:rPr>
          <w:i/>
          <w:iCs w:val="0"/>
        </w:rPr>
        <w:fldChar w:fldCharType="begin"/>
      </w:r>
      <w:r w:rsidRPr="00C13067">
        <w:rPr>
          <w:i/>
          <w:iCs w:val="0"/>
        </w:rPr>
        <w:instrText xml:space="preserve"> SEQ Observation \* ARABIC </w:instrText>
      </w:r>
      <w:r w:rsidRPr="00C13067">
        <w:rPr>
          <w:i/>
          <w:iCs w:val="0"/>
        </w:rPr>
        <w:fldChar w:fldCharType="separate"/>
      </w:r>
      <w:r w:rsidR="00A27D7F" w:rsidRPr="00C13067">
        <w:rPr>
          <w:i/>
          <w:iCs w:val="0"/>
          <w:noProof/>
        </w:rPr>
        <w:t>6</w:t>
      </w:r>
      <w:r w:rsidRPr="00C13067">
        <w:rPr>
          <w:i/>
          <w:iCs w:val="0"/>
        </w:rPr>
        <w:fldChar w:fldCharType="end"/>
      </w:r>
      <w:r w:rsidRPr="00C13067">
        <w:rPr>
          <w:i/>
          <w:iCs w:val="0"/>
        </w:rPr>
        <w:t xml:space="preserve">: If the channel model validation targets had to be equalized, the most logical approach would be to adjust the CTIA channel model path loss but it would result in significant efforts by CE vendors and further delays in channel model validation and test plan finalization. </w:t>
      </w:r>
    </w:p>
    <w:p w14:paraId="76F920EA" w14:textId="54C9C3E7" w:rsidR="00453665" w:rsidRPr="00C13067" w:rsidRDefault="00453665" w:rsidP="00453665">
      <w:pPr>
        <w:pStyle w:val="Caption"/>
        <w:rPr>
          <w:bCs/>
        </w:rPr>
      </w:pPr>
      <w:r w:rsidRPr="00C13067">
        <w:rPr>
          <w:bCs/>
        </w:rPr>
        <w:t xml:space="preserve">Proposal </w:t>
      </w:r>
      <w:r w:rsidRPr="00C13067">
        <w:rPr>
          <w:bCs/>
        </w:rPr>
        <w:fldChar w:fldCharType="begin"/>
      </w:r>
      <w:r w:rsidRPr="00C13067">
        <w:rPr>
          <w:bCs/>
        </w:rPr>
        <w:instrText xml:space="preserve"> SEQ Proposal \* ARABIC </w:instrText>
      </w:r>
      <w:r w:rsidRPr="00C13067">
        <w:rPr>
          <w:bCs/>
        </w:rPr>
        <w:fldChar w:fldCharType="separate"/>
      </w:r>
      <w:r w:rsidR="00A27D7F" w:rsidRPr="00C13067">
        <w:rPr>
          <w:bCs/>
          <w:noProof/>
        </w:rPr>
        <w:t>1</w:t>
      </w:r>
      <w:r w:rsidRPr="00C13067">
        <w:rPr>
          <w:bCs/>
        </w:rPr>
        <w:fldChar w:fldCharType="end"/>
      </w:r>
      <w:r w:rsidRPr="00C13067">
        <w:rPr>
          <w:bCs/>
        </w:rPr>
        <w:t xml:space="preserve">: Based on the technical justification provided here, the various quoted CTIA and 3GPP contributions, the agreements from the CTIA OTA operators, the agreements made in 3GPP, it is proposed to not to further </w:t>
      </w:r>
      <w:r w:rsidR="00571445" w:rsidRPr="00C13067">
        <w:rPr>
          <w:bCs/>
        </w:rPr>
        <w:t>equalize</w:t>
      </w:r>
      <w:r w:rsidRPr="00C13067">
        <w:rPr>
          <w:bCs/>
        </w:rPr>
        <w:t xml:space="preserve"> the channel models in CTIA and 3GPP</w:t>
      </w:r>
      <w:r w:rsidR="00825CFA" w:rsidRPr="00C13067">
        <w:rPr>
          <w:bCs/>
        </w:rPr>
        <w:t>,</w:t>
      </w:r>
      <w:r w:rsidRPr="00C13067">
        <w:rPr>
          <w:bCs/>
        </w:rPr>
        <w:t xml:space="preserve"> and</w:t>
      </w:r>
      <w:r w:rsidR="00825CFA" w:rsidRPr="00C13067">
        <w:rPr>
          <w:bCs/>
        </w:rPr>
        <w:t xml:space="preserve"> to</w:t>
      </w:r>
      <w:r w:rsidRPr="00C13067">
        <w:rPr>
          <w:bCs/>
        </w:rPr>
        <w:t xml:space="preserve"> accept differences in channel model validation targets. </w:t>
      </w:r>
    </w:p>
    <w:p w14:paraId="4E70AD50" w14:textId="77777777" w:rsidR="00453665" w:rsidRDefault="00453665" w:rsidP="00453665">
      <w:pPr>
        <w:rPr>
          <w:rFonts w:asciiTheme="majorHAnsi" w:eastAsiaTheme="majorEastAsia" w:hAnsiTheme="majorHAnsi" w:cstheme="majorBidi"/>
          <w:color w:val="365F91" w:themeColor="accent1" w:themeShade="BF"/>
          <w:sz w:val="32"/>
          <w:szCs w:val="32"/>
        </w:rPr>
      </w:pPr>
      <w:r>
        <w:br w:type="page"/>
      </w:r>
    </w:p>
    <w:p w14:paraId="53B5BD17" w14:textId="77777777" w:rsidR="00453665" w:rsidRDefault="00453665" w:rsidP="00453665">
      <w:pPr>
        <w:pStyle w:val="Heading1"/>
      </w:pPr>
      <w:r>
        <w:lastRenderedPageBreak/>
        <w:t>References</w:t>
      </w:r>
    </w:p>
    <w:p w14:paraId="7E23EBD3" w14:textId="1290C74E" w:rsidR="00453665" w:rsidRDefault="00453665" w:rsidP="00453665">
      <w:pPr>
        <w:pStyle w:val="ListParagraph"/>
        <w:numPr>
          <w:ilvl w:val="0"/>
          <w:numId w:val="2"/>
        </w:numPr>
        <w:spacing w:after="0" w:line="278" w:lineRule="auto"/>
        <w:ind w:left="806" w:hanging="446"/>
      </w:pPr>
      <w:bookmarkStart w:id="4" w:name="_Ref183518314"/>
      <w:r w:rsidRPr="007E7A6D">
        <w:t>MOSG210203_R3</w:t>
      </w:r>
      <w:r>
        <w:t xml:space="preserve">, </w:t>
      </w:r>
      <w:r w:rsidRPr="007E7A6D">
        <w:t>On Dynamic Channel Models for NR FR1 MIMO</w:t>
      </w:r>
      <w:r>
        <w:t>, Keysight Technologies</w:t>
      </w:r>
      <w:bookmarkEnd w:id="4"/>
      <w:r w:rsidR="00232C7D">
        <w:br/>
      </w:r>
      <w:r w:rsidR="00232C7D" w:rsidRPr="00232C7D">
        <w:rPr>
          <w:sz w:val="14"/>
          <w:szCs w:val="14"/>
        </w:rPr>
        <w:t>This is a CTIA Certification Program Working Group Document available to CTIA Certification Program Working Group members</w:t>
      </w:r>
    </w:p>
    <w:p w14:paraId="431B0100" w14:textId="1FE1916A" w:rsidR="00453665" w:rsidRDefault="00453665" w:rsidP="00453665">
      <w:pPr>
        <w:pStyle w:val="ListParagraph"/>
        <w:numPr>
          <w:ilvl w:val="0"/>
          <w:numId w:val="2"/>
        </w:numPr>
        <w:spacing w:after="0" w:line="278" w:lineRule="auto"/>
        <w:ind w:left="806" w:hanging="446"/>
      </w:pPr>
      <w:bookmarkStart w:id="5" w:name="_Ref183519301"/>
      <w:r w:rsidRPr="00D81E8F">
        <w:t>MOSG210303, Way Forward for NR FR1 MIMO OTA, T-Mobile, AT&amp;T, Verizon</w:t>
      </w:r>
      <w:bookmarkEnd w:id="5"/>
      <w:r w:rsidR="00232C7D">
        <w:br/>
      </w:r>
      <w:r w:rsidR="00232C7D" w:rsidRPr="00232C7D">
        <w:rPr>
          <w:sz w:val="14"/>
          <w:szCs w:val="14"/>
        </w:rPr>
        <w:t>This is a CTIA Certification Program Working Group Document available to CTIA Certification Program Working Group members</w:t>
      </w:r>
    </w:p>
    <w:p w14:paraId="7E0246DF" w14:textId="755B66DE" w:rsidR="00453665" w:rsidRDefault="00453665" w:rsidP="00453665">
      <w:pPr>
        <w:pStyle w:val="ListParagraph"/>
        <w:numPr>
          <w:ilvl w:val="0"/>
          <w:numId w:val="2"/>
        </w:numPr>
        <w:spacing w:after="0" w:line="278" w:lineRule="auto"/>
        <w:ind w:left="806" w:hanging="446"/>
      </w:pPr>
      <w:bookmarkStart w:id="6" w:name="_Ref183519636"/>
      <w:r w:rsidRPr="00945BCB">
        <w:t>OTAMIMO_2021_012_005</w:t>
      </w:r>
      <w:r>
        <w:t xml:space="preserve"> V2, </w:t>
      </w:r>
      <w:proofErr w:type="gramStart"/>
      <w:r w:rsidRPr="00FA237F">
        <w:t>On</w:t>
      </w:r>
      <w:proofErr w:type="gramEnd"/>
      <w:r w:rsidRPr="00FA237F">
        <w:t xml:space="preserve"> dynamic path loss</w:t>
      </w:r>
      <w:r>
        <w:t>, Keysight Technologies</w:t>
      </w:r>
      <w:bookmarkEnd w:id="6"/>
      <w:r w:rsidR="00232C7D">
        <w:br/>
      </w:r>
      <w:r w:rsidR="00232C7D" w:rsidRPr="00232C7D">
        <w:rPr>
          <w:sz w:val="14"/>
          <w:szCs w:val="14"/>
        </w:rPr>
        <w:t>This is a CTIA Certification Program Working Group Document available to CTIA Certification Program Working Group members</w:t>
      </w:r>
    </w:p>
    <w:p w14:paraId="3865CC1A" w14:textId="0F1D29DD" w:rsidR="00453665" w:rsidRDefault="00453665" w:rsidP="00453665">
      <w:pPr>
        <w:pStyle w:val="ListParagraph"/>
        <w:numPr>
          <w:ilvl w:val="0"/>
          <w:numId w:val="2"/>
        </w:numPr>
        <w:spacing w:after="0" w:line="278" w:lineRule="auto"/>
        <w:ind w:left="806" w:hanging="446"/>
      </w:pPr>
      <w:bookmarkStart w:id="7" w:name="_Ref183521133"/>
      <w:r w:rsidRPr="00AA4F74">
        <w:t>OTAMIMO_2022_002_003</w:t>
      </w:r>
      <w:r>
        <w:t xml:space="preserve"> V1, </w:t>
      </w:r>
      <w:r w:rsidRPr="00BC17B2">
        <w:t>Operator Feedback on Dynamic Path Loss Questions</w:t>
      </w:r>
      <w:r>
        <w:t>, CTIA OTA Operators</w:t>
      </w:r>
      <w:bookmarkEnd w:id="7"/>
      <w:r w:rsidR="00232C7D">
        <w:br/>
      </w:r>
      <w:r w:rsidR="00232C7D" w:rsidRPr="00232C7D">
        <w:rPr>
          <w:sz w:val="14"/>
          <w:szCs w:val="14"/>
        </w:rPr>
        <w:t>This is a CTIA Certification Program Working Group Document available to CTIA Certification Program Working Group members</w:t>
      </w:r>
    </w:p>
    <w:p w14:paraId="3453DB49" w14:textId="44FEFD00" w:rsidR="00453665" w:rsidRDefault="00453665" w:rsidP="00453665">
      <w:pPr>
        <w:pStyle w:val="ListParagraph"/>
        <w:numPr>
          <w:ilvl w:val="0"/>
          <w:numId w:val="2"/>
        </w:numPr>
        <w:spacing w:after="0" w:line="278" w:lineRule="auto"/>
        <w:ind w:left="806" w:hanging="446"/>
      </w:pPr>
      <w:bookmarkStart w:id="8" w:name="_Ref183521734"/>
      <w:r w:rsidRPr="00D648A8">
        <w:t>OTAMIMO_2021_012_003, Operators’ Comments on MOSG Questions, OTA Operators</w:t>
      </w:r>
      <w:bookmarkEnd w:id="8"/>
      <w:r w:rsidR="00232C7D">
        <w:br/>
      </w:r>
      <w:r w:rsidR="00232C7D" w:rsidRPr="00232C7D">
        <w:rPr>
          <w:sz w:val="14"/>
          <w:szCs w:val="14"/>
        </w:rPr>
        <w:t>This is a CTIA Certification Program Working Group Document available to CTIA Certification Program Working Group members</w:t>
      </w:r>
    </w:p>
    <w:p w14:paraId="10105132" w14:textId="77777777" w:rsidR="00453665" w:rsidRDefault="00453665" w:rsidP="00453665">
      <w:pPr>
        <w:pStyle w:val="ListParagraph"/>
        <w:numPr>
          <w:ilvl w:val="0"/>
          <w:numId w:val="2"/>
        </w:numPr>
        <w:spacing w:after="0" w:line="278" w:lineRule="auto"/>
        <w:ind w:left="806" w:hanging="446"/>
      </w:pPr>
      <w:bookmarkStart w:id="9" w:name="_Ref183525568"/>
      <w:r w:rsidRPr="00BE4120">
        <w:t>TS 38.151, Multiple Input Multiple Output (MIMO) Over-the-Air (OTA) performance requirements</w:t>
      </w:r>
      <w:bookmarkEnd w:id="9"/>
    </w:p>
    <w:p w14:paraId="5D079E30" w14:textId="77777777" w:rsidR="00453665" w:rsidRDefault="00453665" w:rsidP="00453665">
      <w:pPr>
        <w:numPr>
          <w:ilvl w:val="0"/>
          <w:numId w:val="2"/>
        </w:numPr>
        <w:tabs>
          <w:tab w:val="left" w:pos="426"/>
        </w:tabs>
        <w:overflowPunct w:val="0"/>
        <w:autoSpaceDE w:val="0"/>
        <w:autoSpaceDN w:val="0"/>
        <w:adjustRightInd w:val="0"/>
        <w:spacing w:after="0"/>
        <w:ind w:left="806" w:hanging="446"/>
        <w:textAlignment w:val="baseline"/>
      </w:pPr>
      <w:bookmarkStart w:id="10" w:name="_Ref162447311"/>
      <w:r w:rsidRPr="00786B26">
        <w:t>RP-240841</w:t>
      </w:r>
      <w:r>
        <w:t xml:space="preserve">, </w:t>
      </w:r>
      <w:r w:rsidRPr="00E2329F">
        <w:t>New WID: WI on TRP (Total Radiated Power), TRS (Total Radiated Sensitivity) and MIMO OTA (Over the Air) testing enhancement Phase 3</w:t>
      </w:r>
      <w:r>
        <w:t xml:space="preserve">, </w:t>
      </w:r>
      <w:r w:rsidRPr="00BD5D1B">
        <w:t>3GPP TSG RAN Meeting #103</w:t>
      </w:r>
      <w:r>
        <w:t>, March 2024</w:t>
      </w:r>
      <w:bookmarkEnd w:id="10"/>
    </w:p>
    <w:p w14:paraId="084C8C08" w14:textId="77777777" w:rsidR="00453665" w:rsidRDefault="00453665" w:rsidP="00453665">
      <w:pPr>
        <w:numPr>
          <w:ilvl w:val="0"/>
          <w:numId w:val="2"/>
        </w:numPr>
        <w:tabs>
          <w:tab w:val="left" w:pos="426"/>
        </w:tabs>
        <w:overflowPunct w:val="0"/>
        <w:autoSpaceDE w:val="0"/>
        <w:autoSpaceDN w:val="0"/>
        <w:adjustRightInd w:val="0"/>
        <w:spacing w:after="0"/>
        <w:ind w:left="806" w:hanging="446"/>
        <w:textAlignment w:val="baseline"/>
      </w:pPr>
      <w:bookmarkStart w:id="11" w:name="_Ref183526132"/>
      <w:r>
        <w:t>R4-2416479, Preliminary Results from Dynamic MIMO OTA Measurement Campaign, Keysight Technologies, CAICT, 3GPP TSG-RAN4 Meeting #112bis, October 2024</w:t>
      </w:r>
      <w:bookmarkEnd w:id="11"/>
    </w:p>
    <w:p w14:paraId="7BA4B44B" w14:textId="77777777" w:rsidR="00453665" w:rsidRDefault="00453665" w:rsidP="00453665">
      <w:pPr>
        <w:pStyle w:val="ListParagraph"/>
        <w:numPr>
          <w:ilvl w:val="0"/>
          <w:numId w:val="2"/>
        </w:numPr>
        <w:spacing w:after="0" w:line="278" w:lineRule="auto"/>
        <w:ind w:left="806" w:hanging="446"/>
      </w:pPr>
      <w:bookmarkStart w:id="12" w:name="_Ref183526585"/>
      <w:r>
        <w:t>R4-2409769, On FR1 dynamic MIMO OTA methodology, Keysight Technologies, 3GPP TSG-RAN4 Meeting #111, May 2024</w:t>
      </w:r>
      <w:bookmarkEnd w:id="12"/>
    </w:p>
    <w:p w14:paraId="78A59395" w14:textId="77777777" w:rsidR="00453665" w:rsidRDefault="00453665" w:rsidP="00453665">
      <w:pPr>
        <w:pStyle w:val="ListParagraph"/>
        <w:numPr>
          <w:ilvl w:val="0"/>
          <w:numId w:val="2"/>
        </w:numPr>
        <w:spacing w:after="0" w:line="278" w:lineRule="auto"/>
        <w:ind w:left="806" w:hanging="446"/>
      </w:pPr>
      <w:bookmarkStart w:id="13" w:name="_Ref183526636"/>
      <w:r w:rsidRPr="00ED7C99">
        <w:t>TR 38.901</w:t>
      </w:r>
      <w:r>
        <w:t xml:space="preserve">, </w:t>
      </w:r>
      <w:r w:rsidRPr="00D73088">
        <w:t>Study on channel model for frequencies from 0.5 to 100 GHz</w:t>
      </w:r>
      <w:bookmarkEnd w:id="13"/>
    </w:p>
    <w:p w14:paraId="031BC287" w14:textId="77777777" w:rsidR="00453665" w:rsidRDefault="00453665" w:rsidP="00453665">
      <w:pPr>
        <w:pStyle w:val="ListParagraph"/>
        <w:numPr>
          <w:ilvl w:val="0"/>
          <w:numId w:val="2"/>
        </w:numPr>
        <w:spacing w:after="0" w:line="278" w:lineRule="auto"/>
        <w:ind w:left="806" w:hanging="446"/>
      </w:pPr>
      <w:bookmarkStart w:id="14" w:name="_Ref183526729"/>
      <w:r w:rsidRPr="0052477B">
        <w:t>TR 38.762, Multiple Input Multiple Output (MIMO) Over-the-Air (OTA) dynamic test methodology for FR1 UEs</w:t>
      </w:r>
      <w:bookmarkEnd w:id="14"/>
    </w:p>
    <w:p w14:paraId="5B027136" w14:textId="77777777" w:rsidR="00453665" w:rsidRDefault="00453665" w:rsidP="00453665">
      <w:pPr>
        <w:pStyle w:val="ListParagraph"/>
        <w:numPr>
          <w:ilvl w:val="0"/>
          <w:numId w:val="2"/>
        </w:numPr>
        <w:spacing w:after="0" w:line="278" w:lineRule="auto"/>
        <w:ind w:left="806" w:hanging="446"/>
      </w:pPr>
      <w:bookmarkStart w:id="15" w:name="_Ref183526840"/>
      <w:r w:rsidRPr="00D75348">
        <w:t>R4-2416433</w:t>
      </w:r>
      <w:r>
        <w:t>,</w:t>
      </w:r>
      <w:r w:rsidRPr="00D75348">
        <w:tab/>
        <w:t>TR 38.762 V0.1.0 on MIMO OTA dynamic test methodology for FR1 UEs</w:t>
      </w:r>
      <w:r>
        <w:t xml:space="preserve">, </w:t>
      </w:r>
      <w:r w:rsidRPr="00D75348">
        <w:t>CAICT</w:t>
      </w:r>
      <w:bookmarkEnd w:id="15"/>
    </w:p>
    <w:p w14:paraId="07BDF8FE" w14:textId="77777777" w:rsidR="00453665" w:rsidRDefault="00453665" w:rsidP="00453665">
      <w:pPr>
        <w:pStyle w:val="ListParagraph"/>
        <w:numPr>
          <w:ilvl w:val="0"/>
          <w:numId w:val="2"/>
        </w:numPr>
        <w:spacing w:after="0" w:line="278" w:lineRule="auto"/>
        <w:ind w:left="806" w:hanging="446"/>
      </w:pPr>
      <w:bookmarkStart w:id="16" w:name="_Ref183527110"/>
      <w:r>
        <w:t>R4-2419811, TP for TR 38.762: On Dynamic MIMO OTA Testing, Keysight Technologies, Spirent Communications, 3GPP TSG-RAN4 Meeting #113, November 2024</w:t>
      </w:r>
      <w:bookmarkEnd w:id="16"/>
    </w:p>
    <w:p w14:paraId="1E05E09F" w14:textId="77777777" w:rsidR="00453665" w:rsidRDefault="00453665" w:rsidP="00453665"/>
    <w:p w14:paraId="3B126C58" w14:textId="2965F02B" w:rsidR="0012633D" w:rsidRPr="0012633D" w:rsidRDefault="0012633D" w:rsidP="00453665"/>
    <w:sectPr w:rsidR="0012633D" w:rsidRPr="0012633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D1B0D" w14:textId="77777777" w:rsidR="00BF5EF6" w:rsidRDefault="00BF5EF6">
      <w:r>
        <w:separator/>
      </w:r>
    </w:p>
  </w:endnote>
  <w:endnote w:type="continuationSeparator" w:id="0">
    <w:p w14:paraId="3ACCE188" w14:textId="77777777" w:rsidR="00BF5EF6" w:rsidRDefault="00BF5EF6">
      <w:r>
        <w:continuationSeparator/>
      </w:r>
    </w:p>
  </w:endnote>
  <w:endnote w:type="continuationNotice" w:id="1">
    <w:p w14:paraId="2D7D61BF" w14:textId="77777777" w:rsidR="00BF5EF6" w:rsidRDefault="00BF5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2C5D5" w14:textId="77777777" w:rsidR="00BF5EF6" w:rsidRDefault="00BF5EF6">
      <w:r>
        <w:separator/>
      </w:r>
    </w:p>
  </w:footnote>
  <w:footnote w:type="continuationSeparator" w:id="0">
    <w:p w14:paraId="2106AC00" w14:textId="77777777" w:rsidR="00BF5EF6" w:rsidRDefault="00BF5EF6">
      <w:r>
        <w:continuationSeparator/>
      </w:r>
    </w:p>
  </w:footnote>
  <w:footnote w:type="continuationNotice" w:id="1">
    <w:p w14:paraId="026A1745" w14:textId="77777777" w:rsidR="00BF5EF6" w:rsidRDefault="00BF5EF6">
      <w:pPr>
        <w:spacing w:after="0"/>
      </w:pPr>
    </w:p>
  </w:footnote>
  <w:footnote w:id="2">
    <w:p w14:paraId="6286FE04" w14:textId="77777777" w:rsidR="00453665" w:rsidRDefault="00453665" w:rsidP="00453665">
      <w:pPr>
        <w:pStyle w:val="FootnoteText"/>
      </w:pPr>
      <w:r>
        <w:rPr>
          <w:rStyle w:val="FootnoteReference"/>
        </w:rPr>
        <w:footnoteRef/>
      </w:r>
      <w:r>
        <w:t xml:space="preserve"> Test times from system vendors might vary, e.g., more averages and smaller IF bandwidths.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F39"/>
    <w:multiLevelType w:val="hybridMultilevel"/>
    <w:tmpl w:val="632ACA2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48622545"/>
    <w:multiLevelType w:val="multilevel"/>
    <w:tmpl w:val="E39A5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5B2E2CCF"/>
    <w:multiLevelType w:val="multilevel"/>
    <w:tmpl w:val="97868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DD636DB"/>
    <w:multiLevelType w:val="hybridMultilevel"/>
    <w:tmpl w:val="6E6A7298"/>
    <w:lvl w:ilvl="0" w:tplc="410E2DAE">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06885"/>
    <w:multiLevelType w:val="hybridMultilevel"/>
    <w:tmpl w:val="EE3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0179E"/>
    <w:multiLevelType w:val="hybridMultilevel"/>
    <w:tmpl w:val="6EB492A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7CCB5145"/>
    <w:multiLevelType w:val="hybridMultilevel"/>
    <w:tmpl w:val="3B522EA2"/>
    <w:lvl w:ilvl="0" w:tplc="E676C5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7662184">
    <w:abstractNumId w:val="3"/>
  </w:num>
  <w:num w:numId="2" w16cid:durableId="1931159830">
    <w:abstractNumId w:val="6"/>
  </w:num>
  <w:num w:numId="3" w16cid:durableId="1352563017">
    <w:abstractNumId w:val="2"/>
  </w:num>
  <w:num w:numId="4" w16cid:durableId="1601646491">
    <w:abstractNumId w:val="0"/>
  </w:num>
  <w:num w:numId="5" w16cid:durableId="151483431">
    <w:abstractNumId w:val="1"/>
  </w:num>
  <w:num w:numId="6" w16cid:durableId="1554121486">
    <w:abstractNumId w:val="4"/>
  </w:num>
  <w:num w:numId="7" w16cid:durableId="13558108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F89"/>
    <w:rsid w:val="00056614"/>
    <w:rsid w:val="00070E09"/>
    <w:rsid w:val="000A6143"/>
    <w:rsid w:val="000A6394"/>
    <w:rsid w:val="000B7FED"/>
    <w:rsid w:val="000C038A"/>
    <w:rsid w:val="000C6598"/>
    <w:rsid w:val="000D44B3"/>
    <w:rsid w:val="000D4EC9"/>
    <w:rsid w:val="000D7F1B"/>
    <w:rsid w:val="000E436C"/>
    <w:rsid w:val="0012633D"/>
    <w:rsid w:val="00130689"/>
    <w:rsid w:val="00145D43"/>
    <w:rsid w:val="00171026"/>
    <w:rsid w:val="00174849"/>
    <w:rsid w:val="00192C46"/>
    <w:rsid w:val="001A08B3"/>
    <w:rsid w:val="001A2C9D"/>
    <w:rsid w:val="001A7B60"/>
    <w:rsid w:val="001B52F0"/>
    <w:rsid w:val="001B7A65"/>
    <w:rsid w:val="001C61F3"/>
    <w:rsid w:val="001E41F3"/>
    <w:rsid w:val="001E5D29"/>
    <w:rsid w:val="001F5DBD"/>
    <w:rsid w:val="00232C7D"/>
    <w:rsid w:val="0024336A"/>
    <w:rsid w:val="0026004D"/>
    <w:rsid w:val="002640DD"/>
    <w:rsid w:val="00275D12"/>
    <w:rsid w:val="00284FEB"/>
    <w:rsid w:val="002860C4"/>
    <w:rsid w:val="00291916"/>
    <w:rsid w:val="002A5BD8"/>
    <w:rsid w:val="002B5741"/>
    <w:rsid w:val="002D5338"/>
    <w:rsid w:val="002E472E"/>
    <w:rsid w:val="00305409"/>
    <w:rsid w:val="003054FE"/>
    <w:rsid w:val="00347ED2"/>
    <w:rsid w:val="003609EF"/>
    <w:rsid w:val="0036231A"/>
    <w:rsid w:val="00374DD4"/>
    <w:rsid w:val="00382D15"/>
    <w:rsid w:val="00383AEF"/>
    <w:rsid w:val="003B201A"/>
    <w:rsid w:val="003B6319"/>
    <w:rsid w:val="003E1A36"/>
    <w:rsid w:val="00410371"/>
    <w:rsid w:val="004242F1"/>
    <w:rsid w:val="0043526F"/>
    <w:rsid w:val="00453665"/>
    <w:rsid w:val="00467EA0"/>
    <w:rsid w:val="0047201C"/>
    <w:rsid w:val="00495806"/>
    <w:rsid w:val="004B75B7"/>
    <w:rsid w:val="004C4A4D"/>
    <w:rsid w:val="004E4641"/>
    <w:rsid w:val="004E6442"/>
    <w:rsid w:val="0050739D"/>
    <w:rsid w:val="005141D9"/>
    <w:rsid w:val="0051578D"/>
    <w:rsid w:val="0051580D"/>
    <w:rsid w:val="005245CB"/>
    <w:rsid w:val="00533371"/>
    <w:rsid w:val="00547111"/>
    <w:rsid w:val="00571445"/>
    <w:rsid w:val="00592D74"/>
    <w:rsid w:val="005E2C44"/>
    <w:rsid w:val="005E79EC"/>
    <w:rsid w:val="005F181B"/>
    <w:rsid w:val="00606A32"/>
    <w:rsid w:val="00621188"/>
    <w:rsid w:val="00622523"/>
    <w:rsid w:val="006257ED"/>
    <w:rsid w:val="00631CC8"/>
    <w:rsid w:val="00653DE4"/>
    <w:rsid w:val="006630F6"/>
    <w:rsid w:val="00665C47"/>
    <w:rsid w:val="00667280"/>
    <w:rsid w:val="006835DC"/>
    <w:rsid w:val="00695808"/>
    <w:rsid w:val="006B46FB"/>
    <w:rsid w:val="006E21FB"/>
    <w:rsid w:val="007222EB"/>
    <w:rsid w:val="00724E91"/>
    <w:rsid w:val="00730B16"/>
    <w:rsid w:val="00770790"/>
    <w:rsid w:val="00785184"/>
    <w:rsid w:val="00792342"/>
    <w:rsid w:val="007977A8"/>
    <w:rsid w:val="007B512A"/>
    <w:rsid w:val="007C2097"/>
    <w:rsid w:val="007C6541"/>
    <w:rsid w:val="007D1570"/>
    <w:rsid w:val="007D6A07"/>
    <w:rsid w:val="007E7EF9"/>
    <w:rsid w:val="007F1F24"/>
    <w:rsid w:val="007F7259"/>
    <w:rsid w:val="008040A8"/>
    <w:rsid w:val="00806C9A"/>
    <w:rsid w:val="0082452C"/>
    <w:rsid w:val="00825CFA"/>
    <w:rsid w:val="008279FA"/>
    <w:rsid w:val="008527BF"/>
    <w:rsid w:val="00853C81"/>
    <w:rsid w:val="00854324"/>
    <w:rsid w:val="008626E7"/>
    <w:rsid w:val="00870EE7"/>
    <w:rsid w:val="00871BB8"/>
    <w:rsid w:val="008863B9"/>
    <w:rsid w:val="008870C5"/>
    <w:rsid w:val="008A45A6"/>
    <w:rsid w:val="008B7118"/>
    <w:rsid w:val="008B7740"/>
    <w:rsid w:val="008D192A"/>
    <w:rsid w:val="008D3CCC"/>
    <w:rsid w:val="008D4CC8"/>
    <w:rsid w:val="008E210D"/>
    <w:rsid w:val="008F3789"/>
    <w:rsid w:val="008F686C"/>
    <w:rsid w:val="009148DE"/>
    <w:rsid w:val="00941E30"/>
    <w:rsid w:val="009531B0"/>
    <w:rsid w:val="00957DD8"/>
    <w:rsid w:val="009741B3"/>
    <w:rsid w:val="009777D9"/>
    <w:rsid w:val="00991B88"/>
    <w:rsid w:val="009A5753"/>
    <w:rsid w:val="009A579D"/>
    <w:rsid w:val="009D3C47"/>
    <w:rsid w:val="009E3297"/>
    <w:rsid w:val="009E7A29"/>
    <w:rsid w:val="009F3B13"/>
    <w:rsid w:val="009F734F"/>
    <w:rsid w:val="00A246B6"/>
    <w:rsid w:val="00A27D7F"/>
    <w:rsid w:val="00A42258"/>
    <w:rsid w:val="00A47E70"/>
    <w:rsid w:val="00A50CF0"/>
    <w:rsid w:val="00A61533"/>
    <w:rsid w:val="00A7671C"/>
    <w:rsid w:val="00AA2CBC"/>
    <w:rsid w:val="00AA4BF3"/>
    <w:rsid w:val="00AC5820"/>
    <w:rsid w:val="00AC6E54"/>
    <w:rsid w:val="00AD1CD8"/>
    <w:rsid w:val="00AD4EA5"/>
    <w:rsid w:val="00AD5AC9"/>
    <w:rsid w:val="00AD5B62"/>
    <w:rsid w:val="00B046DF"/>
    <w:rsid w:val="00B258BB"/>
    <w:rsid w:val="00B4091A"/>
    <w:rsid w:val="00B53A3B"/>
    <w:rsid w:val="00B56D8B"/>
    <w:rsid w:val="00B67B97"/>
    <w:rsid w:val="00B73D51"/>
    <w:rsid w:val="00B8189C"/>
    <w:rsid w:val="00B968C8"/>
    <w:rsid w:val="00BA3EC5"/>
    <w:rsid w:val="00BA51D9"/>
    <w:rsid w:val="00BA656C"/>
    <w:rsid w:val="00BB5DFC"/>
    <w:rsid w:val="00BB5F5B"/>
    <w:rsid w:val="00BD099D"/>
    <w:rsid w:val="00BD279D"/>
    <w:rsid w:val="00BD6BB8"/>
    <w:rsid w:val="00BE11E4"/>
    <w:rsid w:val="00BF5EF6"/>
    <w:rsid w:val="00C13067"/>
    <w:rsid w:val="00C24015"/>
    <w:rsid w:val="00C66B70"/>
    <w:rsid w:val="00C66BA2"/>
    <w:rsid w:val="00C741A8"/>
    <w:rsid w:val="00C7475D"/>
    <w:rsid w:val="00C870F6"/>
    <w:rsid w:val="00C907B5"/>
    <w:rsid w:val="00C95985"/>
    <w:rsid w:val="00CB6E1C"/>
    <w:rsid w:val="00CC5026"/>
    <w:rsid w:val="00CC68D0"/>
    <w:rsid w:val="00CE138B"/>
    <w:rsid w:val="00D012D6"/>
    <w:rsid w:val="00D03F9A"/>
    <w:rsid w:val="00D06D51"/>
    <w:rsid w:val="00D22034"/>
    <w:rsid w:val="00D24991"/>
    <w:rsid w:val="00D24BC9"/>
    <w:rsid w:val="00D40758"/>
    <w:rsid w:val="00D44D4E"/>
    <w:rsid w:val="00D50255"/>
    <w:rsid w:val="00D6047C"/>
    <w:rsid w:val="00D66520"/>
    <w:rsid w:val="00D84AE9"/>
    <w:rsid w:val="00D9124E"/>
    <w:rsid w:val="00DC7C14"/>
    <w:rsid w:val="00DD5B95"/>
    <w:rsid w:val="00DE34CF"/>
    <w:rsid w:val="00DE36BB"/>
    <w:rsid w:val="00DE4167"/>
    <w:rsid w:val="00DF0362"/>
    <w:rsid w:val="00E13F3D"/>
    <w:rsid w:val="00E20857"/>
    <w:rsid w:val="00E271E8"/>
    <w:rsid w:val="00E34898"/>
    <w:rsid w:val="00E358CD"/>
    <w:rsid w:val="00EB09B7"/>
    <w:rsid w:val="00EB5525"/>
    <w:rsid w:val="00EC635C"/>
    <w:rsid w:val="00EE3B9D"/>
    <w:rsid w:val="00EE7D7C"/>
    <w:rsid w:val="00F00DB8"/>
    <w:rsid w:val="00F0220F"/>
    <w:rsid w:val="00F11F3B"/>
    <w:rsid w:val="00F25D98"/>
    <w:rsid w:val="00F300FB"/>
    <w:rsid w:val="00F313B5"/>
    <w:rsid w:val="00F370D2"/>
    <w:rsid w:val="00F4747E"/>
    <w:rsid w:val="00F47E09"/>
    <w:rsid w:val="00F70E2A"/>
    <w:rsid w:val="00F73233"/>
    <w:rsid w:val="00F84A27"/>
    <w:rsid w:val="00F903F6"/>
    <w:rsid w:val="00F92315"/>
    <w:rsid w:val="00FA5EE2"/>
    <w:rsid w:val="00FB0F6E"/>
    <w:rsid w:val="00FB6386"/>
    <w:rsid w:val="00FC0E66"/>
    <w:rsid w:val="00FF7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C110CD-A84B-4863-931D-4F1E87B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unhideWhenUsed/>
    <w:qFormat/>
    <w:rsid w:val="0012633D"/>
    <w:pPr>
      <w:spacing w:after="200"/>
    </w:pPr>
    <w:rPr>
      <w:b/>
      <w:iCs/>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1"/>
    <w:qFormat/>
    <w:rsid w:val="0012633D"/>
    <w:pPr>
      <w:ind w:left="720"/>
      <w:contextualSpacing/>
    </w:pPr>
  </w:style>
  <w:style w:type="table" w:styleId="TableGrid">
    <w:name w:val="Table Grid"/>
    <w:basedOn w:val="TableNormal"/>
    <w:uiPriority w:val="39"/>
    <w:rsid w:val="0045366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1"/>
    <w:qFormat/>
    <w:locked/>
    <w:rsid w:val="0045366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locked/>
    <w:rsid w:val="00453665"/>
    <w:rPr>
      <w:rFonts w:ascii="Times New Roman" w:hAnsi="Times New Roman"/>
      <w:b/>
      <w:iCs/>
      <w:szCs w:val="18"/>
      <w:lang w:val="en-GB" w:eastAsia="en-US"/>
    </w:rPr>
  </w:style>
  <w:style w:type="paragraph" w:customStyle="1" w:styleId="xmsonormal">
    <w:name w:val="x_msonormal"/>
    <w:basedOn w:val="Normal"/>
    <w:rsid w:val="00453665"/>
    <w:pPr>
      <w:spacing w:after="120"/>
    </w:pPr>
    <w:rPr>
      <w:rFonts w:ascii="Calibri" w:eastAsiaTheme="minorHAnsi" w:hAnsi="Calibri" w:cs="Calibri"/>
      <w:sz w:val="22"/>
      <w:szCs w:val="22"/>
      <w:lang w:val="en-US"/>
    </w:rPr>
  </w:style>
  <w:style w:type="character" w:customStyle="1" w:styleId="FootnoteTextChar">
    <w:name w:val="Footnote Text Char"/>
    <w:basedOn w:val="DefaultParagraphFont"/>
    <w:link w:val="FootnoteText"/>
    <w:uiPriority w:val="99"/>
    <w:semiHidden/>
    <w:rsid w:val="00453665"/>
    <w:rPr>
      <w:rFonts w:ascii="Times New Roman" w:hAnsi="Times New Roman"/>
      <w:sz w:val="16"/>
      <w:lang w:val="en-GB" w:eastAsia="en-US"/>
    </w:rPr>
  </w:style>
  <w:style w:type="paragraph" w:styleId="Revision">
    <w:name w:val="Revision"/>
    <w:hidden/>
    <w:uiPriority w:val="99"/>
    <w:semiHidden/>
    <w:rsid w:val="00507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3D0D3-AD85-448A-AD9E-6DCB496080EE}">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1832D82A-713E-483B-A9C8-313F01F3E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ED0D3C-59B8-45E9-B3FD-F4001204D3A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8</Pages>
  <Words>2972</Words>
  <Characters>17442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81</cp:revision>
  <cp:lastPrinted>1900-01-01T08:00:00Z</cp:lastPrinted>
  <dcterms:created xsi:type="dcterms:W3CDTF">2024-11-27T00:02:00Z</dcterms:created>
  <dcterms:modified xsi:type="dcterms:W3CDTF">2025-02-07T21:38:00Z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